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tbl>
      <w:tblPr>
        <w:tblW w:w="10089" w:type="dxa"/>
        <w:tblLook w:val="01E0" w:firstRow="1" w:lastRow="1" w:firstColumn="1" w:lastColumn="1" w:noHBand="0" w:noVBand="0"/>
      </w:tblPr>
      <w:tblGrid>
        <w:gridCol w:w="10089"/>
      </w:tblGrid>
      <w:tr w:rsidR="00F178D0" w:rsidRPr="00C454BA" w:rsidTr="008B7CA0">
        <w:tc>
          <w:tcPr>
            <w:tcW w:w="10089" w:type="dxa"/>
          </w:tcPr>
          <w:p w:rsidR="00F178D0" w:rsidRPr="00C454BA" w:rsidRDefault="00F178D0" w:rsidP="008B7CA0">
            <w:pPr>
              <w:spacing w:before="380" w:line="280" w:lineRule="exact"/>
              <w:jc w:val="right"/>
              <w:rPr>
                <w:rFonts w:ascii="Tahoma" w:hAnsi="Tahoma" w:cs="Tahoma"/>
                <w:b/>
                <w:bCs/>
                <w:iCs/>
                <w:color w:val="509141"/>
                <w:sz w:val="32"/>
                <w:szCs w:val="32"/>
                <w:lang w:val="en-GB"/>
              </w:rPr>
            </w:pPr>
            <w:r w:rsidRPr="00C454BA">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85pt" o:ole="">
                  <v:imagedata r:id="rId7" o:title=""/>
                </v:shape>
                <o:OLEObject Type="Embed" ProgID="Equation.3" ShapeID="_x0000_i1025" DrawAspect="Content" ObjectID="_1489930788" r:id="rId8"/>
              </w:object>
            </w:r>
          </w:p>
          <w:p w:rsidR="00F178D0" w:rsidRPr="00C454BA" w:rsidRDefault="00F178D0" w:rsidP="00F178D0">
            <w:pPr>
              <w:spacing w:before="380" w:line="280" w:lineRule="exact"/>
              <w:jc w:val="right"/>
              <w:rPr>
                <w:rFonts w:ascii="Tahoma" w:hAnsi="Tahoma" w:cs="Tahoma"/>
                <w:b/>
                <w:bCs/>
                <w:iCs/>
                <w:color w:val="509141"/>
                <w:sz w:val="36"/>
                <w:szCs w:val="36"/>
                <w:lang w:val="en-GB"/>
              </w:rPr>
            </w:pPr>
            <w:r w:rsidRPr="00C454BA">
              <w:rPr>
                <w:rFonts w:ascii="Tahoma" w:hAnsi="Tahoma" w:cs="Tahoma"/>
                <w:b/>
                <w:bCs/>
                <w:iCs/>
                <w:color w:val="509141"/>
                <w:sz w:val="36"/>
                <w:szCs w:val="36"/>
                <w:lang w:val="en-GB"/>
              </w:rPr>
              <w:t>Report  ITU-R  F.2328-0</w:t>
            </w:r>
          </w:p>
          <w:p w:rsidR="00F178D0" w:rsidRPr="00C454BA" w:rsidRDefault="00F178D0" w:rsidP="00D66011">
            <w:pPr>
              <w:spacing w:before="80" w:line="280" w:lineRule="exact"/>
              <w:jc w:val="right"/>
              <w:rPr>
                <w:rFonts w:ascii="Tahoma" w:hAnsi="Tahoma" w:cs="Tahoma"/>
                <w:iCs/>
                <w:color w:val="509141"/>
                <w:szCs w:val="24"/>
                <w:lang w:val="en-GB"/>
              </w:rPr>
            </w:pPr>
            <w:r w:rsidRPr="00C454BA">
              <w:rPr>
                <w:rFonts w:ascii="Tahoma" w:hAnsi="Tahoma" w:cs="Tahoma"/>
                <w:b/>
                <w:bCs/>
                <w:iCs/>
                <w:color w:val="509141"/>
                <w:szCs w:val="24"/>
                <w:lang w:val="en-GB"/>
              </w:rPr>
              <w:t>(</w:t>
            </w:r>
            <w:r w:rsidR="00D66011">
              <w:rPr>
                <w:rFonts w:ascii="Tahoma" w:hAnsi="Tahoma" w:cs="Tahoma"/>
                <w:b/>
                <w:bCs/>
                <w:iCs/>
                <w:color w:val="509141"/>
                <w:szCs w:val="24"/>
                <w:lang w:val="en-GB"/>
              </w:rPr>
              <w:t>1</w:t>
            </w:r>
            <w:r w:rsidRPr="00C454BA">
              <w:rPr>
                <w:rFonts w:ascii="Tahoma" w:hAnsi="Tahoma" w:cs="Tahoma"/>
                <w:b/>
                <w:bCs/>
                <w:iCs/>
                <w:color w:val="509141"/>
                <w:szCs w:val="24"/>
                <w:lang w:val="en-GB"/>
              </w:rPr>
              <w:t>1/2014)</w:t>
            </w:r>
          </w:p>
        </w:tc>
      </w:tr>
      <w:tr w:rsidR="00F178D0" w:rsidRPr="00E64E82" w:rsidTr="008B7CA0">
        <w:tc>
          <w:tcPr>
            <w:tcW w:w="10089" w:type="dxa"/>
          </w:tcPr>
          <w:p w:rsidR="00F178D0" w:rsidRPr="00C454BA" w:rsidRDefault="00F178D0" w:rsidP="008B7CA0">
            <w:pPr>
              <w:spacing w:before="80" w:line="500" w:lineRule="exact"/>
              <w:jc w:val="right"/>
              <w:rPr>
                <w:rFonts w:ascii="Tahoma" w:hAnsi="Tahoma" w:cs="Tahoma"/>
                <w:b/>
                <w:bCs/>
                <w:iCs/>
                <w:color w:val="509141"/>
                <w:sz w:val="44"/>
                <w:szCs w:val="44"/>
                <w:lang w:val="en-GB"/>
              </w:rPr>
            </w:pPr>
          </w:p>
          <w:p w:rsidR="00F178D0" w:rsidRPr="00C454BA" w:rsidRDefault="00F178D0" w:rsidP="00C454BA">
            <w:pPr>
              <w:spacing w:before="80" w:line="500" w:lineRule="exact"/>
              <w:jc w:val="right"/>
              <w:rPr>
                <w:rFonts w:ascii="Tahoma" w:hAnsi="Tahoma" w:cs="Tahoma"/>
                <w:b/>
                <w:bCs/>
                <w:iCs/>
                <w:color w:val="509141"/>
                <w:sz w:val="44"/>
                <w:szCs w:val="44"/>
                <w:lang w:val="en-GB"/>
              </w:rPr>
            </w:pPr>
            <w:r w:rsidRPr="00C454BA">
              <w:rPr>
                <w:rFonts w:ascii="Tahoma" w:hAnsi="Tahoma" w:cs="Tahoma"/>
                <w:b/>
                <w:bCs/>
                <w:color w:val="509141"/>
                <w:sz w:val="44"/>
                <w:szCs w:val="44"/>
                <w:lang w:val="en-GB"/>
              </w:rPr>
              <w:t>Sharing and compatibility between international mobile telecommunication systems and fixed service systems in the</w:t>
            </w:r>
            <w:r w:rsidRPr="00C454BA">
              <w:rPr>
                <w:rFonts w:ascii="Tahoma" w:hAnsi="Tahoma" w:cs="Tahoma"/>
                <w:b/>
                <w:bCs/>
                <w:color w:val="509141"/>
                <w:sz w:val="44"/>
                <w:szCs w:val="44"/>
                <w:lang w:val="en-GB"/>
              </w:rPr>
              <w:br/>
              <w:t>3 400-4 200 MHz frequency range</w:t>
            </w:r>
            <w:r w:rsidRPr="00C454BA">
              <w:rPr>
                <w:rFonts w:ascii="Tahoma" w:hAnsi="Tahoma" w:cs="Tahoma"/>
                <w:b/>
                <w:bCs/>
                <w:iCs/>
                <w:color w:val="509141"/>
                <w:sz w:val="44"/>
                <w:szCs w:val="44"/>
                <w:lang w:val="en-GB"/>
              </w:rPr>
              <w:t xml:space="preserve"> </w:t>
            </w:r>
          </w:p>
          <w:p w:rsidR="00F178D0" w:rsidRPr="00C454BA" w:rsidRDefault="00F178D0" w:rsidP="008B7CA0">
            <w:pPr>
              <w:spacing w:before="80" w:line="500" w:lineRule="exact"/>
              <w:jc w:val="right"/>
              <w:rPr>
                <w:rFonts w:ascii="Tahoma" w:hAnsi="Tahoma" w:cs="Tahoma"/>
                <w:b/>
                <w:bCs/>
                <w:iCs/>
                <w:color w:val="509141"/>
                <w:sz w:val="44"/>
                <w:szCs w:val="44"/>
                <w:lang w:val="en-GB"/>
              </w:rPr>
            </w:pPr>
            <w:r w:rsidRPr="00C454BA">
              <w:rPr>
                <w:rFonts w:ascii="Tahoma" w:hAnsi="Tahoma" w:cs="Tahoma"/>
                <w:b/>
                <w:bCs/>
                <w:iCs/>
                <w:color w:val="509141"/>
                <w:sz w:val="44"/>
                <w:szCs w:val="44"/>
                <w:lang w:val="en-GB"/>
              </w:rPr>
              <w:t xml:space="preserve">  </w:t>
            </w:r>
          </w:p>
        </w:tc>
      </w:tr>
      <w:tr w:rsidR="00F178D0" w:rsidRPr="00C454BA" w:rsidTr="008B7CA0">
        <w:tc>
          <w:tcPr>
            <w:tcW w:w="10089" w:type="dxa"/>
          </w:tcPr>
          <w:p w:rsidR="00F178D0" w:rsidRPr="00C454BA" w:rsidRDefault="00F178D0" w:rsidP="008B7CA0">
            <w:pPr>
              <w:spacing w:before="80" w:line="280" w:lineRule="exact"/>
              <w:ind w:right="640"/>
              <w:rPr>
                <w:rFonts w:ascii="Tahoma" w:hAnsi="Tahoma" w:cs="Tahoma"/>
                <w:b/>
                <w:bCs/>
                <w:iCs/>
                <w:color w:val="243285"/>
                <w:sz w:val="32"/>
                <w:szCs w:val="32"/>
                <w:lang w:val="en-GB"/>
              </w:rPr>
            </w:pPr>
          </w:p>
          <w:p w:rsidR="00F178D0" w:rsidRPr="00C454BA" w:rsidRDefault="00F178D0" w:rsidP="008B7CA0">
            <w:pPr>
              <w:spacing w:before="80" w:line="280" w:lineRule="exact"/>
              <w:ind w:right="640"/>
              <w:rPr>
                <w:rFonts w:ascii="Tahoma" w:hAnsi="Tahoma" w:cs="Tahoma"/>
                <w:b/>
                <w:bCs/>
                <w:iCs/>
                <w:color w:val="243285"/>
                <w:sz w:val="32"/>
                <w:szCs w:val="32"/>
                <w:lang w:val="en-GB"/>
              </w:rPr>
            </w:pPr>
          </w:p>
          <w:p w:rsidR="00F178D0" w:rsidRPr="00C454BA" w:rsidRDefault="00F178D0" w:rsidP="008B7CA0">
            <w:pPr>
              <w:spacing w:before="80" w:line="280" w:lineRule="exact"/>
              <w:ind w:right="640"/>
              <w:rPr>
                <w:rFonts w:ascii="Tahoma" w:hAnsi="Tahoma" w:cs="Tahoma"/>
                <w:b/>
                <w:bCs/>
                <w:iCs/>
                <w:color w:val="243285"/>
                <w:sz w:val="32"/>
                <w:szCs w:val="32"/>
                <w:lang w:val="en-GB"/>
              </w:rPr>
            </w:pPr>
          </w:p>
          <w:p w:rsidR="00F178D0" w:rsidRPr="00C454BA" w:rsidRDefault="00F178D0" w:rsidP="008B7CA0">
            <w:pPr>
              <w:spacing w:before="80" w:after="180" w:line="360" w:lineRule="exact"/>
              <w:jc w:val="right"/>
              <w:rPr>
                <w:rFonts w:ascii="Tahoma" w:hAnsi="Tahoma" w:cs="Tahoma"/>
                <w:b/>
                <w:bCs/>
                <w:iCs/>
                <w:color w:val="243285"/>
                <w:sz w:val="36"/>
                <w:szCs w:val="36"/>
                <w:lang w:val="en-GB"/>
              </w:rPr>
            </w:pPr>
          </w:p>
          <w:p w:rsidR="00F178D0" w:rsidRPr="00C454BA" w:rsidRDefault="00F178D0" w:rsidP="008B7CA0">
            <w:pPr>
              <w:spacing w:before="80" w:after="180" w:line="360" w:lineRule="exact"/>
              <w:jc w:val="right"/>
              <w:rPr>
                <w:rFonts w:ascii="Tahoma" w:hAnsi="Tahoma" w:cs="Tahoma"/>
                <w:b/>
                <w:bCs/>
                <w:iCs/>
                <w:color w:val="509141"/>
                <w:sz w:val="36"/>
                <w:szCs w:val="36"/>
                <w:lang w:val="en-GB"/>
              </w:rPr>
            </w:pPr>
            <w:r w:rsidRPr="00C454BA">
              <w:rPr>
                <w:rFonts w:ascii="Tahoma" w:hAnsi="Tahoma" w:cs="Tahoma"/>
                <w:b/>
                <w:bCs/>
                <w:iCs/>
                <w:color w:val="509141"/>
                <w:sz w:val="36"/>
                <w:szCs w:val="36"/>
                <w:lang w:val="en-GB"/>
              </w:rPr>
              <w:t>F Series</w:t>
            </w:r>
          </w:p>
          <w:p w:rsidR="00F178D0" w:rsidRPr="00C454BA" w:rsidRDefault="00F178D0" w:rsidP="008B7CA0">
            <w:pPr>
              <w:spacing w:before="80" w:line="420" w:lineRule="exact"/>
              <w:jc w:val="right"/>
              <w:rPr>
                <w:rFonts w:ascii="Tahoma" w:hAnsi="Tahoma" w:cs="Tahoma"/>
                <w:b/>
                <w:bCs/>
                <w:iCs/>
                <w:color w:val="509141"/>
                <w:sz w:val="36"/>
                <w:szCs w:val="36"/>
                <w:lang w:val="en-GB"/>
              </w:rPr>
            </w:pPr>
            <w:r w:rsidRPr="00C454BA">
              <w:rPr>
                <w:rFonts w:ascii="Tahoma" w:hAnsi="Tahoma" w:cs="Tahoma"/>
                <w:b/>
                <w:bCs/>
                <w:iCs/>
                <w:color w:val="509141"/>
                <w:sz w:val="36"/>
                <w:szCs w:val="36"/>
                <w:lang w:val="en-GB"/>
              </w:rPr>
              <w:t>Fixed service</w:t>
            </w:r>
          </w:p>
        </w:tc>
      </w:tr>
    </w:tbl>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rPr>
          <w:rFonts w:ascii="Palatino Linotype" w:hAnsi="Palatino Linotype"/>
          <w:lang w:val="en-GB"/>
        </w:rPr>
        <w:sectPr w:rsidR="00F178D0" w:rsidRPr="00C454BA" w:rsidSect="008B7CA0">
          <w:headerReference w:type="even" r:id="rId9"/>
          <w:headerReference w:type="default" r:id="rId10"/>
          <w:pgSz w:w="11907" w:h="16840" w:code="9"/>
          <w:pgMar w:top="1089" w:right="1089" w:bottom="284" w:left="1089" w:header="567" w:footer="284" w:gutter="0"/>
          <w:pgNumType w:start="1"/>
          <w:cols w:space="720"/>
        </w:sectPr>
      </w:pPr>
    </w:p>
    <w:p w:rsidR="00F178D0" w:rsidRPr="00C454BA" w:rsidRDefault="00F178D0" w:rsidP="00F178D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C454BA">
        <w:rPr>
          <w:bCs/>
          <w:sz w:val="24"/>
          <w:szCs w:val="24"/>
          <w:lang w:val="en-GB"/>
        </w:rPr>
        <w:lastRenderedPageBreak/>
        <w:t>Foreword</w:t>
      </w:r>
    </w:p>
    <w:p w:rsidR="00F178D0" w:rsidRPr="00C454BA" w:rsidRDefault="00F178D0" w:rsidP="00F178D0">
      <w:pPr>
        <w:spacing w:before="240"/>
        <w:rPr>
          <w:sz w:val="20"/>
          <w:lang w:val="en-GB"/>
        </w:rPr>
      </w:pPr>
      <w:r w:rsidRPr="00C454B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178D0" w:rsidRPr="00C454BA" w:rsidRDefault="00F178D0" w:rsidP="00F178D0">
      <w:pPr>
        <w:rPr>
          <w:sz w:val="20"/>
          <w:lang w:val="en-GB"/>
        </w:rPr>
      </w:pPr>
      <w:r w:rsidRPr="00C454BA">
        <w:rPr>
          <w:sz w:val="20"/>
          <w:lang w:val="en-GB"/>
        </w:rPr>
        <w:t>The regulatory and policy functions of the Radiocommunication Sector are performed by World and Regional Radiocommunication Conferences and Radiocommunication Assemblies supported by Study Groups.</w:t>
      </w:r>
    </w:p>
    <w:p w:rsidR="00F178D0" w:rsidRPr="00C454BA" w:rsidRDefault="00F178D0" w:rsidP="00F178D0">
      <w:pPr>
        <w:pStyle w:val="Heading1"/>
        <w:spacing w:before="400"/>
        <w:jc w:val="center"/>
        <w:rPr>
          <w:szCs w:val="24"/>
          <w:lang w:val="en-GB"/>
        </w:rPr>
      </w:pPr>
    </w:p>
    <w:p w:rsidR="00F178D0" w:rsidRPr="00C454BA" w:rsidRDefault="00F178D0" w:rsidP="00F178D0">
      <w:pPr>
        <w:pStyle w:val="Heading1"/>
        <w:spacing w:before="540"/>
        <w:jc w:val="center"/>
        <w:rPr>
          <w:szCs w:val="24"/>
          <w:lang w:val="en-GB"/>
        </w:rPr>
      </w:pPr>
      <w:r w:rsidRPr="00C454BA">
        <w:rPr>
          <w:szCs w:val="24"/>
          <w:lang w:val="en-GB"/>
        </w:rPr>
        <w:t>Policy on Intellectual Property Right (IPR)</w:t>
      </w:r>
    </w:p>
    <w:p w:rsidR="00F178D0" w:rsidRPr="00C454BA" w:rsidRDefault="00F178D0" w:rsidP="00F178D0">
      <w:pPr>
        <w:tabs>
          <w:tab w:val="left" w:pos="720"/>
        </w:tabs>
        <w:spacing w:before="240"/>
        <w:rPr>
          <w:sz w:val="20"/>
          <w:lang w:val="en-GB"/>
        </w:rPr>
      </w:pPr>
      <w:r w:rsidRPr="00C454B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C454BA">
          <w:rPr>
            <w:rStyle w:val="Hyperlink"/>
            <w:sz w:val="20"/>
            <w:lang w:val="en-GB"/>
          </w:rPr>
          <w:t>http://www.itu.int/ITU-R/go/patents/en</w:t>
        </w:r>
      </w:hyperlink>
      <w:r w:rsidRPr="00C454BA">
        <w:rPr>
          <w:sz w:val="20"/>
          <w:lang w:val="en-GB"/>
        </w:rPr>
        <w:t xml:space="preserve"> where the Guidelines for Implementation of the Common Patent Policy for ITU</w:t>
      </w:r>
      <w:r w:rsidRPr="00C454BA">
        <w:rPr>
          <w:sz w:val="20"/>
          <w:lang w:val="en-GB"/>
        </w:rPr>
        <w:noBreakHyphen/>
        <w:t>T/ITU</w:t>
      </w:r>
      <w:r w:rsidRPr="00C454BA">
        <w:rPr>
          <w:sz w:val="20"/>
          <w:lang w:val="en-GB"/>
        </w:rPr>
        <w:noBreakHyphen/>
        <w:t xml:space="preserve">R/ISO/IEC and the ITU-R patent information database can also be found. </w:t>
      </w:r>
    </w:p>
    <w:p w:rsidR="00F178D0" w:rsidRPr="00C454BA" w:rsidRDefault="00F178D0" w:rsidP="00F178D0">
      <w:pPr>
        <w:jc w:val="center"/>
        <w:rPr>
          <w:sz w:val="22"/>
          <w:lang w:val="en-GB"/>
        </w:rPr>
      </w:pPr>
    </w:p>
    <w:p w:rsidR="00F178D0" w:rsidRPr="00C454BA" w:rsidRDefault="00F178D0" w:rsidP="00F178D0">
      <w:pPr>
        <w:jc w:val="center"/>
        <w:rPr>
          <w:sz w:val="22"/>
          <w:lang w:val="en-GB"/>
        </w:rPr>
      </w:pPr>
    </w:p>
    <w:p w:rsidR="00F178D0" w:rsidRPr="00C454BA" w:rsidRDefault="00F178D0" w:rsidP="00F178D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178D0" w:rsidRPr="00E64E82" w:rsidTr="008B7CA0">
        <w:tc>
          <w:tcPr>
            <w:tcW w:w="9360" w:type="dxa"/>
            <w:gridSpan w:val="2"/>
            <w:tcBorders>
              <w:top w:val="single" w:sz="12" w:space="0" w:color="000080"/>
              <w:left w:val="single" w:sz="12" w:space="0" w:color="000080"/>
              <w:bottom w:val="nil"/>
              <w:right w:val="single" w:sz="12" w:space="0" w:color="000080"/>
            </w:tcBorders>
          </w:tcPr>
          <w:p w:rsidR="00F178D0" w:rsidRPr="00C454BA" w:rsidRDefault="00F178D0" w:rsidP="008B7CA0">
            <w:pPr>
              <w:pStyle w:val="ChapNo"/>
              <w:spacing w:before="240"/>
              <w:rPr>
                <w:sz w:val="22"/>
                <w:szCs w:val="22"/>
                <w:lang w:val="en-GB"/>
              </w:rPr>
            </w:pPr>
            <w:r w:rsidRPr="00C454BA">
              <w:rPr>
                <w:sz w:val="22"/>
                <w:szCs w:val="22"/>
                <w:lang w:val="en-GB"/>
              </w:rPr>
              <w:t xml:space="preserve">Series of ITU-R Reports </w:t>
            </w:r>
          </w:p>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454BA">
              <w:rPr>
                <w:b w:val="0"/>
                <w:sz w:val="18"/>
                <w:szCs w:val="18"/>
                <w:lang w:val="en-GB"/>
              </w:rPr>
              <w:t xml:space="preserve">(Also available online at </w:t>
            </w:r>
            <w:hyperlink r:id="rId12" w:history="1">
              <w:r w:rsidRPr="00C454BA">
                <w:rPr>
                  <w:rStyle w:val="Hyperlink"/>
                  <w:b w:val="0"/>
                  <w:bCs/>
                  <w:sz w:val="18"/>
                  <w:szCs w:val="18"/>
                  <w:lang w:val="en-GB"/>
                </w:rPr>
                <w:t>http://www.itu.int/publ/R-REP/en</w:t>
              </w:r>
            </w:hyperlink>
            <w:r w:rsidRPr="00C454BA">
              <w:rPr>
                <w:b w:val="0"/>
                <w:sz w:val="18"/>
                <w:szCs w:val="18"/>
                <w:lang w:val="en-GB"/>
              </w:rPr>
              <w:t>)</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200" w:after="100"/>
              <w:ind w:left="57"/>
              <w:rPr>
                <w:b/>
                <w:bCs/>
                <w:sz w:val="20"/>
                <w:lang w:val="en-GB"/>
              </w:rPr>
            </w:pPr>
            <w:r w:rsidRPr="00C454BA">
              <w:rPr>
                <w:b/>
                <w:bCs/>
                <w:sz w:val="20"/>
                <w:lang w:val="en-GB"/>
              </w:rPr>
              <w:t>Series</w:t>
            </w:r>
          </w:p>
        </w:tc>
        <w:tc>
          <w:tcPr>
            <w:tcW w:w="8220" w:type="dxa"/>
            <w:tcBorders>
              <w:top w:val="nil"/>
              <w:left w:val="nil"/>
              <w:bottom w:val="nil"/>
              <w:right w:val="single" w:sz="12" w:space="0" w:color="000080"/>
            </w:tcBorders>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454BA">
              <w:rPr>
                <w:bCs/>
                <w:sz w:val="20"/>
                <w:lang w:val="en-GB"/>
              </w:rPr>
              <w:t>Title</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rFonts w:ascii="Times New Roman Bold" w:hAnsi="Times New Roman Bold" w:cs="Times New Roman Bold"/>
                <w:b/>
                <w:bCs/>
                <w:sz w:val="20"/>
                <w:lang w:val="en-GB"/>
              </w:rPr>
            </w:pPr>
            <w:r w:rsidRPr="00C454BA">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Satellite delivery</w:t>
            </w:r>
          </w:p>
        </w:tc>
      </w:tr>
      <w:tr w:rsidR="00F178D0" w:rsidRPr="00E64E82"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BR</w:t>
            </w:r>
          </w:p>
        </w:tc>
        <w:tc>
          <w:tcPr>
            <w:tcW w:w="8220" w:type="dxa"/>
            <w:tcBorders>
              <w:top w:val="nil"/>
              <w:left w:val="nil"/>
              <w:bottom w:val="nil"/>
              <w:right w:val="single" w:sz="12" w:space="0" w:color="000080"/>
            </w:tcBorders>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Recording for production, archival and play-out; film for television</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rFonts w:ascii="Times New Roman Bold" w:hAnsi="Times New Roman Bold" w:cs="Times New Roman Bold"/>
                <w:b/>
                <w:bCs/>
                <w:sz w:val="20"/>
                <w:lang w:val="en-GB"/>
              </w:rPr>
            </w:pPr>
            <w:r w:rsidRPr="00C454BA">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Broadcasting service (sound)</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rFonts w:ascii="Times New Roman Bold" w:hAnsi="Times New Roman Bold" w:cs="Times New Roman Bold"/>
                <w:b/>
                <w:bCs/>
                <w:sz w:val="20"/>
                <w:lang w:val="en-GB"/>
              </w:rPr>
            </w:pPr>
            <w:r w:rsidRPr="00C454BA">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Broadcasting service (television)</w:t>
            </w:r>
          </w:p>
        </w:tc>
      </w:tr>
      <w:tr w:rsidR="00F178D0" w:rsidRPr="00C454BA" w:rsidTr="008B7CA0">
        <w:tc>
          <w:tcPr>
            <w:tcW w:w="1140" w:type="dxa"/>
            <w:tcBorders>
              <w:top w:val="nil"/>
              <w:left w:val="single" w:sz="12" w:space="0" w:color="000080"/>
              <w:bottom w:val="nil"/>
              <w:right w:val="nil"/>
            </w:tcBorders>
            <w:shd w:val="clear" w:color="auto" w:fill="F3F3F3"/>
          </w:tcPr>
          <w:p w:rsidR="00F178D0" w:rsidRPr="00C454BA" w:rsidRDefault="00F178D0" w:rsidP="008B7CA0">
            <w:pPr>
              <w:spacing w:before="30" w:after="30"/>
              <w:ind w:left="57"/>
              <w:jc w:val="left"/>
              <w:rPr>
                <w:b/>
                <w:bCs/>
                <w:color w:val="000080"/>
                <w:sz w:val="20"/>
                <w:lang w:val="en-GB"/>
              </w:rPr>
            </w:pPr>
            <w:r w:rsidRPr="00C454BA">
              <w:rPr>
                <w:b/>
                <w:bCs/>
                <w:color w:val="000080"/>
                <w:sz w:val="20"/>
                <w:lang w:val="en-GB"/>
              </w:rPr>
              <w:t>F</w:t>
            </w:r>
          </w:p>
        </w:tc>
        <w:tc>
          <w:tcPr>
            <w:tcW w:w="8220" w:type="dxa"/>
            <w:tcBorders>
              <w:top w:val="nil"/>
              <w:left w:val="nil"/>
              <w:bottom w:val="nil"/>
              <w:right w:val="single" w:sz="12" w:space="0" w:color="000080"/>
            </w:tcBorders>
            <w:shd w:val="clear" w:color="auto" w:fill="F3F3F3"/>
          </w:tcPr>
          <w:p w:rsidR="00F178D0" w:rsidRPr="00C454BA" w:rsidRDefault="00F178D0" w:rsidP="008B7CA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C454BA">
              <w:rPr>
                <w:b/>
                <w:bCs/>
                <w:color w:val="000080"/>
                <w:sz w:val="20"/>
                <w:lang w:val="en-GB"/>
              </w:rPr>
              <w:t>Fixed service</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b/>
                <w:bCs/>
                <w:sz w:val="20"/>
                <w:lang w:val="en-GB"/>
              </w:rPr>
            </w:pPr>
            <w:r w:rsidRPr="00C454BA">
              <w:rPr>
                <w:b/>
                <w:bCs/>
                <w:sz w:val="20"/>
                <w:lang w:val="en-GB"/>
              </w:rPr>
              <w:t>M</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Mobile, radiodetermination, amateur and related satellite services</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P</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Radiowave propagation</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RA</w:t>
            </w:r>
          </w:p>
        </w:tc>
        <w:tc>
          <w:tcPr>
            <w:tcW w:w="8220" w:type="dxa"/>
            <w:tcBorders>
              <w:top w:val="nil"/>
              <w:left w:val="nil"/>
              <w:bottom w:val="nil"/>
              <w:right w:val="single" w:sz="12" w:space="0" w:color="000080"/>
            </w:tcBorders>
          </w:tcPr>
          <w:p w:rsidR="00F178D0" w:rsidRPr="00C454BA" w:rsidRDefault="00F178D0" w:rsidP="008B7CA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454BA">
              <w:rPr>
                <w:sz w:val="20"/>
                <w:lang w:val="en-GB"/>
              </w:rPr>
              <w:t>Radio astronomy</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RS</w:t>
            </w:r>
          </w:p>
        </w:tc>
        <w:tc>
          <w:tcPr>
            <w:tcW w:w="8220" w:type="dxa"/>
            <w:tcBorders>
              <w:top w:val="nil"/>
              <w:left w:val="nil"/>
              <w:bottom w:val="nil"/>
              <w:right w:val="single" w:sz="12" w:space="0" w:color="000080"/>
            </w:tcBorders>
          </w:tcPr>
          <w:p w:rsidR="00F178D0" w:rsidRPr="00C454BA" w:rsidRDefault="00F178D0" w:rsidP="008B7CA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454BA">
              <w:rPr>
                <w:sz w:val="20"/>
                <w:lang w:val="en-GB"/>
              </w:rPr>
              <w:t>Remote sensing systems</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Fixed-satellite service</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SA</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Space applications and meteorology</w:t>
            </w:r>
          </w:p>
        </w:tc>
      </w:tr>
      <w:tr w:rsidR="00F178D0" w:rsidRPr="00E64E82"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SF</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Frequency sharing and coordination between fixed-satellite and fixed service systems</w:t>
            </w:r>
          </w:p>
        </w:tc>
      </w:tr>
      <w:tr w:rsidR="00F178D0" w:rsidRPr="00C454BA" w:rsidTr="008B7CA0">
        <w:tc>
          <w:tcPr>
            <w:tcW w:w="1140" w:type="dxa"/>
            <w:tcBorders>
              <w:top w:val="nil"/>
              <w:left w:val="single" w:sz="12" w:space="0" w:color="000080"/>
              <w:bottom w:val="single" w:sz="12" w:space="0" w:color="000080"/>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SM</w:t>
            </w:r>
          </w:p>
        </w:tc>
        <w:tc>
          <w:tcPr>
            <w:tcW w:w="8220" w:type="dxa"/>
            <w:tcBorders>
              <w:top w:val="nil"/>
              <w:left w:val="nil"/>
              <w:bottom w:val="single" w:sz="12" w:space="0" w:color="000080"/>
              <w:right w:val="single" w:sz="12" w:space="0" w:color="000080"/>
            </w:tcBorders>
          </w:tcPr>
          <w:p w:rsidR="00F178D0" w:rsidRPr="00C454BA" w:rsidRDefault="00F178D0" w:rsidP="008B7CA0">
            <w:pPr>
              <w:spacing w:before="30" w:after="180"/>
              <w:jc w:val="left"/>
              <w:rPr>
                <w:sz w:val="20"/>
                <w:lang w:val="en-GB"/>
              </w:rPr>
            </w:pPr>
            <w:r w:rsidRPr="00C454BA">
              <w:rPr>
                <w:sz w:val="20"/>
                <w:lang w:val="en-GB"/>
              </w:rPr>
              <w:t>Spectrum management</w:t>
            </w:r>
          </w:p>
        </w:tc>
      </w:tr>
    </w:tbl>
    <w:p w:rsidR="00F178D0" w:rsidRPr="00C454BA" w:rsidRDefault="00F178D0" w:rsidP="00F178D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178D0" w:rsidRPr="00C454BA" w:rsidTr="008B7CA0">
        <w:tc>
          <w:tcPr>
            <w:tcW w:w="720" w:type="dxa"/>
          </w:tcPr>
          <w:p w:rsidR="00F178D0" w:rsidRPr="00C454BA" w:rsidRDefault="00F178D0" w:rsidP="008B7CA0">
            <w:pPr>
              <w:jc w:val="center"/>
              <w:rPr>
                <w:sz w:val="22"/>
                <w:lang w:val="en-GB"/>
              </w:rPr>
            </w:pPr>
          </w:p>
        </w:tc>
      </w:tr>
    </w:tbl>
    <w:p w:rsidR="00F178D0" w:rsidRPr="00C454BA" w:rsidRDefault="00F178D0" w:rsidP="00F178D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178D0" w:rsidRPr="00E64E82" w:rsidTr="008B7CA0">
        <w:tc>
          <w:tcPr>
            <w:tcW w:w="9360" w:type="dxa"/>
            <w:tcBorders>
              <w:top w:val="single" w:sz="12" w:space="0" w:color="000080"/>
              <w:left w:val="single" w:sz="12" w:space="0" w:color="000080"/>
              <w:bottom w:val="single" w:sz="12" w:space="0" w:color="000080"/>
              <w:right w:val="single" w:sz="12" w:space="0" w:color="000080"/>
            </w:tcBorders>
          </w:tcPr>
          <w:p w:rsidR="00F178D0" w:rsidRPr="00C454BA" w:rsidRDefault="00F178D0" w:rsidP="008B7CA0">
            <w:pPr>
              <w:spacing w:after="120"/>
              <w:jc w:val="left"/>
              <w:rPr>
                <w:b/>
                <w:bCs/>
                <w:sz w:val="20"/>
                <w:lang w:val="en-GB"/>
              </w:rPr>
            </w:pPr>
            <w:r w:rsidRPr="00C454BA">
              <w:rPr>
                <w:b/>
                <w:bCs/>
                <w:i/>
                <w:iCs/>
                <w:sz w:val="20"/>
                <w:lang w:val="en-GB"/>
              </w:rPr>
              <w:t>Note</w:t>
            </w:r>
            <w:r w:rsidRPr="00C454BA">
              <w:rPr>
                <w:i/>
                <w:iCs/>
                <w:sz w:val="20"/>
                <w:lang w:val="en-GB"/>
              </w:rPr>
              <w:t>: This ITU-R Report was approved in English by the Study Group under the procedure detailed in Resolution ITU-R 1.</w:t>
            </w:r>
          </w:p>
        </w:tc>
      </w:tr>
    </w:tbl>
    <w:p w:rsidR="00F178D0" w:rsidRPr="00C454BA" w:rsidRDefault="00F178D0" w:rsidP="00F178D0">
      <w:pPr>
        <w:spacing w:before="0"/>
        <w:jc w:val="center"/>
        <w:rPr>
          <w:sz w:val="22"/>
          <w:lang w:val="en-GB"/>
        </w:rPr>
      </w:pPr>
    </w:p>
    <w:p w:rsidR="00F178D0" w:rsidRPr="00C454BA" w:rsidRDefault="00F178D0" w:rsidP="00F178D0">
      <w:pPr>
        <w:spacing w:before="0"/>
        <w:jc w:val="center"/>
        <w:rPr>
          <w:sz w:val="22"/>
          <w:lang w:val="en-GB"/>
        </w:rPr>
      </w:pPr>
    </w:p>
    <w:p w:rsidR="00F178D0" w:rsidRPr="00C454BA" w:rsidRDefault="00F178D0" w:rsidP="00F178D0">
      <w:pPr>
        <w:spacing w:before="0"/>
        <w:jc w:val="right"/>
        <w:rPr>
          <w:i/>
          <w:iCs/>
          <w:sz w:val="20"/>
          <w:lang w:val="en-GB"/>
        </w:rPr>
      </w:pPr>
      <w:r w:rsidRPr="00C454BA">
        <w:rPr>
          <w:i/>
          <w:iCs/>
          <w:sz w:val="20"/>
          <w:lang w:val="en-GB"/>
        </w:rPr>
        <w:t>Electronic Publication</w:t>
      </w:r>
    </w:p>
    <w:p w:rsidR="00F178D0" w:rsidRPr="00C454BA" w:rsidRDefault="00F178D0" w:rsidP="00F178D0">
      <w:pPr>
        <w:spacing w:before="0"/>
        <w:jc w:val="right"/>
        <w:rPr>
          <w:sz w:val="20"/>
          <w:lang w:val="en-GB"/>
        </w:rPr>
      </w:pPr>
      <w:r w:rsidRPr="00C454BA">
        <w:rPr>
          <w:sz w:val="20"/>
          <w:lang w:val="en-GB"/>
        </w:rPr>
        <w:t>Geneva, 2015</w:t>
      </w:r>
    </w:p>
    <w:p w:rsidR="00F178D0" w:rsidRPr="00C454BA" w:rsidRDefault="00F178D0" w:rsidP="00F178D0">
      <w:pPr>
        <w:jc w:val="center"/>
        <w:rPr>
          <w:sz w:val="20"/>
          <w:lang w:val="en-GB"/>
        </w:rPr>
      </w:pPr>
      <w:r w:rsidRPr="00C454BA">
        <w:rPr>
          <w:sz w:val="20"/>
          <w:lang w:val="en-GB"/>
        </w:rPr>
        <w:sym w:font="Symbol" w:char="00E3"/>
      </w:r>
      <w:r w:rsidRPr="00C454BA">
        <w:rPr>
          <w:sz w:val="20"/>
          <w:lang w:val="en-GB"/>
        </w:rPr>
        <w:t xml:space="preserve"> ITU </w:t>
      </w:r>
      <w:bookmarkStart w:id="1" w:name="iiannee"/>
      <w:bookmarkEnd w:id="1"/>
      <w:r w:rsidRPr="00C454BA">
        <w:rPr>
          <w:sz w:val="20"/>
          <w:lang w:val="en-GB"/>
        </w:rPr>
        <w:t>2015</w:t>
      </w:r>
    </w:p>
    <w:p w:rsidR="000E0A27" w:rsidRPr="00C454BA" w:rsidRDefault="00F178D0" w:rsidP="00F178D0">
      <w:pPr>
        <w:rPr>
          <w:sz w:val="18"/>
          <w:szCs w:val="18"/>
          <w:lang w:val="en-GB"/>
        </w:rPr>
      </w:pPr>
      <w:r w:rsidRPr="00C454BA">
        <w:rPr>
          <w:sz w:val="18"/>
          <w:szCs w:val="18"/>
          <w:lang w:val="en-GB"/>
        </w:rPr>
        <w:t>All rights reserved. No part of this publication may be reproduced, by any means whatsoever, without written permission of ITU.</w:t>
      </w:r>
    </w:p>
    <w:p w:rsidR="000E0A27" w:rsidRPr="00C454BA" w:rsidRDefault="000E0A27" w:rsidP="000E0A27">
      <w:pPr>
        <w:spacing w:before="160"/>
        <w:rPr>
          <w:i/>
          <w:sz w:val="20"/>
          <w:highlight w:val="yellow"/>
          <w:lang w:val="en-GB"/>
        </w:rPr>
        <w:sectPr w:rsidR="000E0A27" w:rsidRPr="00C454BA" w:rsidSect="00AD72AE">
          <w:headerReference w:type="even" r:id="rId13"/>
          <w:headerReference w:type="default" r:id="rId14"/>
          <w:pgSz w:w="11907" w:h="16834" w:code="9"/>
          <w:pgMar w:top="1418" w:right="1134" w:bottom="1134" w:left="1134" w:header="720" w:footer="482" w:gutter="0"/>
          <w:pgNumType w:fmt="lowerRoman" w:start="2"/>
          <w:cols w:space="720"/>
        </w:sectPr>
      </w:pPr>
    </w:p>
    <w:p w:rsidR="00F178D0" w:rsidRPr="00C454BA" w:rsidRDefault="00F178D0" w:rsidP="00E709EB">
      <w:pPr>
        <w:pStyle w:val="RepNo"/>
        <w:spacing w:before="0"/>
        <w:rPr>
          <w:lang w:val="en-GB"/>
        </w:rPr>
      </w:pPr>
      <w:r w:rsidRPr="00C454BA">
        <w:rPr>
          <w:lang w:val="en-GB"/>
        </w:rPr>
        <w:lastRenderedPageBreak/>
        <w:t xml:space="preserve">REPORT  </w:t>
      </w:r>
      <w:r w:rsidRPr="00C454BA">
        <w:rPr>
          <w:rStyle w:val="href"/>
          <w:lang w:val="en-GB"/>
        </w:rPr>
        <w:t>ITU-R  F.2328-0</w:t>
      </w:r>
    </w:p>
    <w:p w:rsidR="000E0A27" w:rsidRPr="00C454BA" w:rsidRDefault="000E0A27" w:rsidP="000E0A27">
      <w:pPr>
        <w:pStyle w:val="Reptitle"/>
        <w:rPr>
          <w:lang w:val="en-GB" w:eastAsia="zh-CN"/>
        </w:rPr>
      </w:pPr>
      <w:r w:rsidRPr="00C454BA">
        <w:rPr>
          <w:lang w:val="en-GB"/>
        </w:rPr>
        <w:t>Sharing and compatibility between international mobile</w:t>
      </w:r>
      <w:r w:rsidRPr="00C454BA">
        <w:rPr>
          <w:lang w:val="en-GB"/>
        </w:rPr>
        <w:br/>
        <w:t>telecommunication systems and fixed service systems</w:t>
      </w:r>
      <w:r w:rsidRPr="00C454BA">
        <w:rPr>
          <w:lang w:val="en-GB"/>
        </w:rPr>
        <w:br/>
        <w:t>in the 3 400-4 200 MHz frequency range</w:t>
      </w:r>
    </w:p>
    <w:p w:rsidR="000E0A27" w:rsidRPr="00C454BA" w:rsidRDefault="000E0A27" w:rsidP="000E0A27">
      <w:pPr>
        <w:pStyle w:val="Repdate"/>
        <w:rPr>
          <w:lang w:val="en-GB" w:eastAsia="zh-CN"/>
        </w:rPr>
      </w:pPr>
      <w:r w:rsidRPr="00C454BA">
        <w:rPr>
          <w:lang w:val="en-GB" w:eastAsia="zh-CN"/>
        </w:rPr>
        <w:t>(2014)</w:t>
      </w:r>
    </w:p>
    <w:p w:rsidR="000E0A27" w:rsidRPr="00C454BA" w:rsidRDefault="000E0A27" w:rsidP="000E0A27">
      <w:pPr>
        <w:pStyle w:val="Headingb"/>
        <w:spacing w:before="240"/>
        <w:rPr>
          <w:lang w:val="en-GB"/>
        </w:rPr>
      </w:pPr>
      <w:r w:rsidRPr="00C454BA">
        <w:rPr>
          <w:lang w:val="en-GB"/>
        </w:rPr>
        <w:t>Introduction</w:t>
      </w:r>
    </w:p>
    <w:p w:rsidR="000E0A27" w:rsidRPr="00C454BA" w:rsidRDefault="000E0A27" w:rsidP="002055EC">
      <w:pPr>
        <w:rPr>
          <w:szCs w:val="24"/>
          <w:lang w:val="en-GB"/>
        </w:rPr>
      </w:pPr>
      <w:r w:rsidRPr="00C454BA">
        <w:rPr>
          <w:szCs w:val="24"/>
          <w:lang w:val="en-GB"/>
        </w:rPr>
        <w:t xml:space="preserve">This </w:t>
      </w:r>
      <w:r w:rsidR="002055EC">
        <w:rPr>
          <w:szCs w:val="24"/>
          <w:lang w:val="en-GB"/>
        </w:rPr>
        <w:t>Report</w:t>
      </w:r>
      <w:r w:rsidRPr="00C454BA">
        <w:rPr>
          <w:szCs w:val="24"/>
          <w:lang w:val="en-GB"/>
        </w:rPr>
        <w:t xml:space="preserve"> examines the compatibility of proposed international mobile telecommunication (IMT) systems and fixed service (FS) systems operating in the 3 400-4 200 MHz frequency range.</w:t>
      </w:r>
    </w:p>
    <w:p w:rsidR="000E0A27" w:rsidRPr="00C454BA" w:rsidRDefault="000E0A27" w:rsidP="000E0A27">
      <w:pPr>
        <w:pStyle w:val="Headingb"/>
        <w:rPr>
          <w:lang w:val="en-GB"/>
        </w:rPr>
      </w:pPr>
      <w:r w:rsidRPr="00C454BA">
        <w:rPr>
          <w:lang w:val="en-GB"/>
        </w:rPr>
        <w:t>Methodology</w:t>
      </w:r>
    </w:p>
    <w:p w:rsidR="000E0A27" w:rsidRPr="00C454BA" w:rsidRDefault="000E0A27" w:rsidP="002055EC">
      <w:pPr>
        <w:rPr>
          <w:lang w:val="en-GB"/>
        </w:rPr>
      </w:pPr>
      <w:r w:rsidRPr="00C454BA">
        <w:rPr>
          <w:lang w:val="en-GB"/>
        </w:rPr>
        <w:t xml:space="preserve">This </w:t>
      </w:r>
      <w:r w:rsidR="002055EC">
        <w:rPr>
          <w:lang w:val="en-GB"/>
        </w:rPr>
        <w:t>Report</w:t>
      </w:r>
      <w:r w:rsidRPr="00C454BA">
        <w:rPr>
          <w:lang w:val="en-GB"/>
        </w:rPr>
        <w:t xml:space="preserve"> examines the required frequency rejection as a function of separation distance for compatible operation of IMT and FS systems.</w:t>
      </w:r>
      <w:r w:rsidR="00AD72AE" w:rsidRPr="00C454BA">
        <w:rPr>
          <w:lang w:val="en-GB"/>
        </w:rPr>
        <w:t xml:space="preserve"> </w:t>
      </w:r>
      <w:r w:rsidRPr="00C454BA">
        <w:rPr>
          <w:lang w:val="en-GB"/>
        </w:rPr>
        <w:t>Two interference scenarios are considered: IMT base station into FS receive station and IMT user equipment (UE) into FS receive station. Four deployment environments for IMT systems are considered: macro suburban, macro urban, small cell outdoor and small cell indoor. Propagation loss is calculated using Recommendation ITU</w:t>
      </w:r>
      <w:r w:rsidRPr="00C454BA">
        <w:rPr>
          <w:lang w:val="en-GB"/>
        </w:rPr>
        <w:noBreakHyphen/>
        <w:t>R </w:t>
      </w:r>
      <w:hyperlink r:id="rId15" w:history="1">
        <w:r w:rsidRPr="002055EC">
          <w:rPr>
            <w:rStyle w:val="Hyperlink"/>
            <w:u w:val="none"/>
            <w:lang w:val="en-GB"/>
          </w:rPr>
          <w:t>P.452-14</w:t>
        </w:r>
      </w:hyperlink>
      <w:r w:rsidRPr="00C454BA">
        <w:rPr>
          <w:lang w:val="en-GB"/>
        </w:rPr>
        <w:t>.</w:t>
      </w:r>
    </w:p>
    <w:p w:rsidR="000E0A27" w:rsidRPr="00C454BA" w:rsidRDefault="000E0A27" w:rsidP="000E0A27">
      <w:pPr>
        <w:rPr>
          <w:lang w:val="en-GB"/>
        </w:rPr>
      </w:pPr>
      <w:r w:rsidRPr="00C454BA">
        <w:rPr>
          <w:lang w:val="en-GB"/>
        </w:rPr>
        <w:t xml:space="preserve">The IMT network layout is illustrated in </w:t>
      </w:r>
      <w:r w:rsidR="00AD72AE" w:rsidRPr="00C454BA">
        <w:rPr>
          <w:lang w:val="en-GB"/>
        </w:rPr>
        <w:t>Fig.</w:t>
      </w:r>
      <w:r w:rsidRPr="00C454BA">
        <w:rPr>
          <w:lang w:val="en-GB"/>
        </w:rPr>
        <w:t xml:space="preserve"> 1. Nineteen cells are arranged in a hexagonal pattern with each cell consisting of three sectors. An IMT base station is located at the centre of each cell and operates with a 3-sector antenna. Each antenna serves a single sector covering 120 degrees of the cell. For the small cell deployment scenarios, the base station antenna is omni</w:t>
      </w:r>
      <w:r w:rsidRPr="00C454BA">
        <w:rPr>
          <w:lang w:val="en-GB"/>
        </w:rPr>
        <w:noBreakHyphen/>
        <w:t>directional in azimuth and the cell contains only one sector.</w:t>
      </w:r>
    </w:p>
    <w:p w:rsidR="000E0A27" w:rsidRPr="00C454BA" w:rsidRDefault="000E0A27" w:rsidP="000E0A27">
      <w:pPr>
        <w:pStyle w:val="FigureNo"/>
        <w:rPr>
          <w:lang w:val="en-GB"/>
        </w:rPr>
      </w:pPr>
      <w:r w:rsidRPr="00C454BA">
        <w:rPr>
          <w:lang w:val="en-GB"/>
        </w:rPr>
        <w:t>Figure 1</w:t>
      </w:r>
    </w:p>
    <w:p w:rsidR="000E0A27" w:rsidRPr="00C454BA" w:rsidRDefault="000E0A27" w:rsidP="000E0A27">
      <w:pPr>
        <w:pStyle w:val="Figuretitle"/>
        <w:spacing w:after="240"/>
        <w:rPr>
          <w:lang w:val="en-GB"/>
        </w:rPr>
      </w:pPr>
      <w:r w:rsidRPr="00C454BA">
        <w:rPr>
          <w:lang w:val="en-GB"/>
        </w:rPr>
        <w:t>IMT Network Layout</w:t>
      </w:r>
    </w:p>
    <w:p w:rsidR="000E0A27" w:rsidRPr="00C454BA" w:rsidRDefault="000E0A27" w:rsidP="00546E87">
      <w:pPr>
        <w:pStyle w:val="Figure"/>
        <w:rPr>
          <w:szCs w:val="24"/>
          <w:lang w:val="en-GB"/>
        </w:rPr>
      </w:pPr>
      <w:r w:rsidRPr="00C454BA">
        <w:rPr>
          <w:noProof/>
          <w:lang w:val="en-US" w:eastAsia="zh-CN"/>
        </w:rPr>
        <w:drawing>
          <wp:inline distT="0" distB="0" distL="0" distR="0" wp14:anchorId="0EDE8606" wp14:editId="09C84137">
            <wp:extent cx="5401269" cy="3960000"/>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01269" cy="3960000"/>
                    </a:xfrm>
                    <a:prstGeom prst="rect">
                      <a:avLst/>
                    </a:prstGeom>
                    <a:noFill/>
                    <a:ln w="9525">
                      <a:noFill/>
                      <a:miter lim="800000"/>
                      <a:headEnd/>
                      <a:tailEnd/>
                    </a:ln>
                  </pic:spPr>
                </pic:pic>
              </a:graphicData>
            </a:graphic>
          </wp:inline>
        </w:drawing>
      </w:r>
    </w:p>
    <w:p w:rsidR="000E0A27" w:rsidRPr="00C454BA" w:rsidRDefault="000E0A27" w:rsidP="000E0A27">
      <w:pPr>
        <w:keepNext/>
        <w:keepLines/>
        <w:rPr>
          <w:lang w:val="en-GB"/>
        </w:rPr>
      </w:pPr>
      <w:r w:rsidRPr="00C454BA">
        <w:rPr>
          <w:lang w:val="en-GB"/>
        </w:rPr>
        <w:lastRenderedPageBreak/>
        <w:t>The interference calculation methodology used depends on the interference scenario considered:</w:t>
      </w:r>
    </w:p>
    <w:p w:rsidR="000E0A27" w:rsidRPr="00C454BA" w:rsidRDefault="000E0A27" w:rsidP="000E0A27">
      <w:pPr>
        <w:pStyle w:val="Headingi"/>
        <w:rPr>
          <w:lang w:val="en-GB"/>
        </w:rPr>
      </w:pPr>
      <w:r w:rsidRPr="00C454BA">
        <w:rPr>
          <w:lang w:val="en-GB"/>
        </w:rPr>
        <w:t>IMT base station into FS receive station</w:t>
      </w:r>
    </w:p>
    <w:p w:rsidR="000E0A27" w:rsidRPr="00C454BA" w:rsidRDefault="000E0A27" w:rsidP="000E0A27">
      <w:pPr>
        <w:rPr>
          <w:szCs w:val="24"/>
          <w:lang w:val="en-GB"/>
        </w:rPr>
      </w:pPr>
      <w:r w:rsidRPr="00C454BA">
        <w:rPr>
          <w:szCs w:val="24"/>
          <w:lang w:val="en-GB"/>
        </w:rPr>
        <w:t>Both co-channel and adjacent channel scenarios are addressed.</w:t>
      </w:r>
    </w:p>
    <w:p w:rsidR="000E0A27" w:rsidRPr="00C454BA" w:rsidRDefault="000E0A27" w:rsidP="000E0A27">
      <w:pPr>
        <w:rPr>
          <w:szCs w:val="24"/>
          <w:lang w:val="en-GB"/>
        </w:rPr>
      </w:pPr>
      <w:r w:rsidRPr="00C454BA">
        <w:rPr>
          <w:szCs w:val="24"/>
          <w:lang w:val="en-GB"/>
        </w:rPr>
        <w:t>For the co-channel scenario, the interference from a single IMT base station or UE pointing in azimuth toward the FS receive station is computed over a range of azimuths and distances. The result is presented as a plot of the required separation distance around the FS receive station.</w:t>
      </w:r>
    </w:p>
    <w:p w:rsidR="000E0A27" w:rsidRPr="00C454BA" w:rsidRDefault="000E0A27" w:rsidP="000E0A27">
      <w:pPr>
        <w:rPr>
          <w:szCs w:val="24"/>
          <w:lang w:val="en-GB"/>
        </w:rPr>
      </w:pPr>
      <w:r w:rsidRPr="00C454BA">
        <w:rPr>
          <w:szCs w:val="24"/>
          <w:lang w:val="en-GB"/>
        </w:rPr>
        <w:t>For the adjacent channel scenario, the FS receive station is positioned adjacent to the IMT network base stations. The aggregate interference into the FS station is computed assuming varying separation distances. At each distance, the required rejection is determined based on a specified protection requirement. The result is presented as a plot of the required rejection as a function of separation distance. The required frequency separation between the two systems is then determined based on the out-of-band emission characteristics of the IMT base station signal and the adjacent channel selectivity of the FS receiver.</w:t>
      </w:r>
    </w:p>
    <w:p w:rsidR="000E0A27" w:rsidRPr="00C454BA" w:rsidRDefault="000E0A27" w:rsidP="000E0A27">
      <w:pPr>
        <w:pStyle w:val="Headingi"/>
        <w:rPr>
          <w:b/>
          <w:lang w:val="en-GB"/>
        </w:rPr>
      </w:pPr>
      <w:r w:rsidRPr="00C454BA">
        <w:rPr>
          <w:lang w:val="en-GB"/>
        </w:rPr>
        <w:t>IMT UE into FS Receive Station</w:t>
      </w:r>
    </w:p>
    <w:p w:rsidR="000E0A27" w:rsidRPr="00C454BA" w:rsidRDefault="000E0A27" w:rsidP="000E0A27">
      <w:pPr>
        <w:rPr>
          <w:szCs w:val="24"/>
          <w:lang w:val="en-GB"/>
        </w:rPr>
      </w:pPr>
      <w:r w:rsidRPr="00C454BA">
        <w:rPr>
          <w:szCs w:val="24"/>
          <w:lang w:val="en-GB"/>
        </w:rPr>
        <w:t>Aggregate interference from IMT UE is modelled based on the Monte Carlo methodology to model IMT networks. The methodology consists of 1) randomly positioning IMT UE throughout the IMT network area, 2) randomly assigning these UE to an IMT base station based on the propagation loss and a specified “handover margin”, 3) randomly locating the UE either indoors or outdoors based on a specified percentage of indoor devices, and 4) applying a power control algorithm to the UE based on their path loss distribution. The calculations are repeated for a number of “snapshots”, from which statistics are extracted. Elements from the ITU-R methodology pertinent to this analysis are presented below:</w:t>
      </w:r>
    </w:p>
    <w:p w:rsidR="000E0A27" w:rsidRPr="00C454BA" w:rsidRDefault="000E0A27" w:rsidP="000E0A27">
      <w:pPr>
        <w:rPr>
          <w:szCs w:val="24"/>
          <w:lang w:val="en-GB"/>
        </w:rPr>
      </w:pPr>
      <w:r w:rsidRPr="00C454BA">
        <w:rPr>
          <w:szCs w:val="24"/>
          <w:lang w:val="en-GB"/>
        </w:rPr>
        <w:t>The network region relevant for simulations is the cluster of 19 cells illustrated in Fig. 1.</w:t>
      </w:r>
      <w:r w:rsidR="00AD72AE" w:rsidRPr="00C454BA">
        <w:rPr>
          <w:szCs w:val="24"/>
          <w:lang w:val="en-GB"/>
        </w:rPr>
        <w:t xml:space="preserve"> </w:t>
      </w:r>
      <w:r w:rsidRPr="00C454BA">
        <w:rPr>
          <w:szCs w:val="24"/>
          <w:lang w:val="en-GB"/>
        </w:rPr>
        <w:t>Additional clusters of 19 cells are repeated around this central cluster based on a “wrap-around” technique employed to avoid the network deployment edge effects as shown in Fig. 2.</w:t>
      </w:r>
    </w:p>
    <w:p w:rsidR="000E0A27" w:rsidRPr="00C454BA" w:rsidRDefault="000E0A27" w:rsidP="000E0A27">
      <w:pPr>
        <w:pStyle w:val="FigureNo"/>
        <w:rPr>
          <w:lang w:val="en-GB"/>
        </w:rPr>
      </w:pPr>
      <w:r w:rsidRPr="00C454BA">
        <w:rPr>
          <w:lang w:val="en-GB"/>
        </w:rPr>
        <w:lastRenderedPageBreak/>
        <w:t>Figure 2</w:t>
      </w:r>
    </w:p>
    <w:p w:rsidR="000E0A27" w:rsidRPr="00C454BA" w:rsidRDefault="000E0A27" w:rsidP="000E0A27">
      <w:pPr>
        <w:pStyle w:val="Figuretitle"/>
        <w:rPr>
          <w:lang w:val="en-GB"/>
        </w:rPr>
      </w:pPr>
      <w:r w:rsidRPr="00C454BA">
        <w:rPr>
          <w:lang w:val="en-GB"/>
        </w:rPr>
        <w:t>IMT network layout with “wrap-around” clusters</w:t>
      </w:r>
    </w:p>
    <w:p w:rsidR="000E0A27" w:rsidRPr="00C454BA" w:rsidRDefault="00BE3828" w:rsidP="00546E87">
      <w:pPr>
        <w:pStyle w:val="Figure"/>
        <w:rPr>
          <w:szCs w:val="24"/>
          <w:lang w:val="en-GB"/>
        </w:rPr>
      </w:pPr>
      <w:r>
        <w:object w:dxaOrig="5700" w:dyaOrig="6025">
          <v:shape id="_x0000_i1031" type="#_x0000_t75" style="width:338.95pt;height:357.65pt" o:ole="">
            <v:imagedata r:id="rId17" o:title=""/>
          </v:shape>
          <o:OLEObject Type="Embed" ProgID="CorelDraw.Graphic.16" ShapeID="_x0000_i1031" DrawAspect="Content" ObjectID="_1489930789" r:id="rId18"/>
        </w:object>
      </w:r>
    </w:p>
    <w:p w:rsidR="000E0A27" w:rsidRPr="00C454BA" w:rsidRDefault="000E0A27" w:rsidP="000E0A27">
      <w:pPr>
        <w:pStyle w:val="Normalaftertitle0"/>
      </w:pPr>
      <w:r w:rsidRPr="00C454BA">
        <w:t>The simulation of interference on the IMT uplink is structured as follows:</w:t>
      </w:r>
    </w:p>
    <w:p w:rsidR="000E0A27" w:rsidRPr="00C454BA" w:rsidRDefault="000E0A27" w:rsidP="000E0A27">
      <w:pPr>
        <w:rPr>
          <w:szCs w:val="24"/>
          <w:lang w:val="en-GB"/>
        </w:rPr>
      </w:pPr>
      <w:r w:rsidRPr="00C454BA">
        <w:rPr>
          <w:szCs w:val="24"/>
          <w:lang w:val="en-GB"/>
        </w:rPr>
        <w:t>For i = 1:</w:t>
      </w:r>
      <w:r w:rsidR="00AD72AE" w:rsidRPr="00C454BA">
        <w:rPr>
          <w:szCs w:val="24"/>
          <w:lang w:val="en-GB"/>
        </w:rPr>
        <w:t xml:space="preserve"> </w:t>
      </w:r>
      <w:r w:rsidRPr="00C454BA">
        <w:rPr>
          <w:szCs w:val="24"/>
          <w:lang w:val="en-GB"/>
        </w:rPr>
        <w:t># of snapshots</w:t>
      </w:r>
    </w:p>
    <w:p w:rsidR="000E0A27" w:rsidRPr="00C454BA" w:rsidRDefault="000E0A27" w:rsidP="00AD72AE">
      <w:pPr>
        <w:pStyle w:val="enumlev1"/>
        <w:rPr>
          <w:lang w:val="en-GB"/>
        </w:rPr>
      </w:pPr>
      <w:r w:rsidRPr="00C454BA">
        <w:rPr>
          <w:lang w:val="en-GB"/>
        </w:rPr>
        <w:t>1.</w:t>
      </w:r>
      <w:r w:rsidRPr="00C454BA">
        <w:rPr>
          <w:lang w:val="en-GB"/>
        </w:rPr>
        <w:tab/>
        <w:t>Distribute sufficiently many UE randomly throughout the system area such that to each cell within the HO margin of 3 dB the same number K</w:t>
      </w:r>
      <w:r w:rsidRPr="00C454BA">
        <w:rPr>
          <w:vertAlign w:val="subscript"/>
          <w:lang w:val="en-GB"/>
        </w:rPr>
        <w:t>UL</w:t>
      </w:r>
      <w:r w:rsidRPr="00C454BA">
        <w:rPr>
          <w:lang w:val="en-GB"/>
        </w:rPr>
        <w:t xml:space="preserve"> of users is allocated as active UE.</w:t>
      </w:r>
    </w:p>
    <w:p w:rsidR="000E0A27" w:rsidRPr="00C454BA" w:rsidRDefault="000E0A27" w:rsidP="00AD72AE">
      <w:pPr>
        <w:pStyle w:val="enumlev2"/>
        <w:rPr>
          <w:lang w:val="en-GB"/>
        </w:rPr>
      </w:pPr>
      <w:r w:rsidRPr="00C454BA">
        <w:rPr>
          <w:lang w:val="en-GB"/>
        </w:rPr>
        <w:t>–</w:t>
      </w:r>
      <w:r w:rsidRPr="00C454BA">
        <w:rPr>
          <w:lang w:val="en-GB"/>
        </w:rPr>
        <w:tab/>
        <w:t>calculate the pathloss from each UE to all cells and find the smallest pathloss;</w:t>
      </w:r>
    </w:p>
    <w:p w:rsidR="000E0A27" w:rsidRPr="00C454BA" w:rsidRDefault="000E0A27" w:rsidP="00AD72AE">
      <w:pPr>
        <w:pStyle w:val="enumlev2"/>
        <w:rPr>
          <w:lang w:val="en-GB"/>
        </w:rPr>
      </w:pPr>
      <w:r w:rsidRPr="00C454BA">
        <w:rPr>
          <w:lang w:val="en-GB"/>
        </w:rPr>
        <w:t>–</w:t>
      </w:r>
      <w:r w:rsidRPr="00C454BA">
        <w:rPr>
          <w:lang w:val="en-GB"/>
        </w:rPr>
        <w:tab/>
        <w:t>link the UE randomly to a cell to which the pathloss is within the smallest pathloss plus the HO margin of 3 dB;</w:t>
      </w:r>
    </w:p>
    <w:p w:rsidR="000E0A27" w:rsidRPr="00C454BA" w:rsidRDefault="000E0A27" w:rsidP="0042161C">
      <w:pPr>
        <w:pStyle w:val="enumlev2"/>
        <w:rPr>
          <w:lang w:val="en-GB"/>
        </w:rPr>
      </w:pPr>
      <w:r w:rsidRPr="00C454BA">
        <w:rPr>
          <w:lang w:val="en-GB"/>
        </w:rPr>
        <w:t>–</w:t>
      </w:r>
      <w:r w:rsidRPr="00C454BA">
        <w:rPr>
          <w:lang w:val="en-GB"/>
        </w:rPr>
        <w:tab/>
        <w:t>select K</w:t>
      </w:r>
      <w:r w:rsidRPr="00C454BA">
        <w:rPr>
          <w:vertAlign w:val="subscript"/>
          <w:lang w:val="en-GB"/>
        </w:rPr>
        <w:t>UL</w:t>
      </w:r>
      <w:r w:rsidRPr="00C454BA">
        <w:rPr>
          <w:lang w:val="en-GB"/>
        </w:rPr>
        <w:t xml:space="preserve"> UE randomly from all the UE linked to one cell as active UE. These K</w:t>
      </w:r>
      <w:r w:rsidRPr="00C454BA">
        <w:rPr>
          <w:vertAlign w:val="subscript"/>
          <w:lang w:val="en-GB"/>
        </w:rPr>
        <w:t>UL</w:t>
      </w:r>
      <w:r w:rsidRPr="00C454BA">
        <w:rPr>
          <w:lang w:val="en-GB"/>
        </w:rPr>
        <w:t xml:space="preserve"> active UE will be scheduled during this snapshot.</w:t>
      </w:r>
    </w:p>
    <w:p w:rsidR="000E0A27" w:rsidRPr="00C454BA" w:rsidRDefault="000E0A27" w:rsidP="00AD72AE">
      <w:pPr>
        <w:pStyle w:val="enumlev1"/>
        <w:rPr>
          <w:lang w:val="en-GB"/>
        </w:rPr>
      </w:pPr>
      <w:r w:rsidRPr="00C454BA">
        <w:rPr>
          <w:lang w:val="en-GB"/>
        </w:rPr>
        <w:t>2.</w:t>
      </w:r>
      <w:r w:rsidRPr="00C454BA">
        <w:rPr>
          <w:lang w:val="en-GB"/>
        </w:rPr>
        <w:tab/>
        <w:t>Perform UL power control</w:t>
      </w:r>
    </w:p>
    <w:p w:rsidR="000E0A27" w:rsidRPr="00C454BA" w:rsidRDefault="000E0A27" w:rsidP="00AD72AE">
      <w:pPr>
        <w:pStyle w:val="enumlev2"/>
        <w:rPr>
          <w:lang w:val="en-GB"/>
        </w:rPr>
      </w:pPr>
      <w:r w:rsidRPr="00C454BA">
        <w:rPr>
          <w:lang w:val="en-GB"/>
        </w:rPr>
        <w:t>–</w:t>
      </w:r>
      <w:r w:rsidRPr="00C454BA">
        <w:rPr>
          <w:lang w:val="en-GB"/>
        </w:rPr>
        <w:tab/>
        <w:t xml:space="preserve">Set UE transmit power to </w:t>
      </w:r>
      <w:r w:rsidR="00AD72AE" w:rsidRPr="00C454BA">
        <w:rPr>
          <w:position w:val="-40"/>
          <w:lang w:val="en-GB"/>
        </w:rPr>
        <w:object w:dxaOrig="4000" w:dyaOrig="920">
          <v:shape id="_x0000_i1026" type="#_x0000_t75" style="width:179.55pt;height:41.15pt" o:ole="" fillcolor="#0c9">
            <v:imagedata r:id="rId19" o:title=""/>
          </v:shape>
          <o:OLEObject Type="Embed" ProgID="Equation.3" ShapeID="_x0000_i1026" DrawAspect="Content" ObjectID="_1489930790" r:id="rId20"/>
        </w:object>
      </w:r>
    </w:p>
    <w:p w:rsidR="000E0A27" w:rsidRPr="00C454BA" w:rsidRDefault="000E0A27" w:rsidP="00AD72AE">
      <w:pPr>
        <w:rPr>
          <w:lang w:val="en-GB"/>
        </w:rPr>
      </w:pPr>
      <w:r w:rsidRPr="00C454BA">
        <w:rPr>
          <w:lang w:val="en-GB"/>
        </w:rPr>
        <w:t xml:space="preserve">where Pt is the transmit power of the UE, </w:t>
      </w:r>
      <w:r w:rsidRPr="00C454BA">
        <w:rPr>
          <w:i/>
          <w:iCs/>
          <w:lang w:val="en-GB"/>
        </w:rPr>
        <w:t>P</w:t>
      </w:r>
      <w:r w:rsidRPr="00C454BA">
        <w:rPr>
          <w:i/>
          <w:iCs/>
          <w:vertAlign w:val="subscript"/>
          <w:lang w:val="en-GB"/>
        </w:rPr>
        <w:t>max</w:t>
      </w:r>
      <w:r w:rsidRPr="00C454BA">
        <w:rPr>
          <w:lang w:val="en-GB"/>
        </w:rPr>
        <w:t xml:space="preserve"> is the maximum transmit power, </w:t>
      </w:r>
      <w:r w:rsidRPr="00C454BA">
        <w:rPr>
          <w:i/>
          <w:iCs/>
          <w:lang w:val="en-GB"/>
        </w:rPr>
        <w:t>R</w:t>
      </w:r>
      <w:r w:rsidRPr="00C454BA">
        <w:rPr>
          <w:i/>
          <w:iCs/>
          <w:vertAlign w:val="subscript"/>
          <w:lang w:val="en-GB"/>
        </w:rPr>
        <w:t>min</w:t>
      </w:r>
      <w:r w:rsidRPr="00C454BA">
        <w:rPr>
          <w:vertAlign w:val="subscript"/>
          <w:lang w:val="en-GB"/>
        </w:rPr>
        <w:t xml:space="preserve"> </w:t>
      </w:r>
      <w:r w:rsidRPr="00C454BA">
        <w:rPr>
          <w:lang w:val="en-GB"/>
        </w:rPr>
        <w:t xml:space="preserve">is the ratio of UE minimum and maximum transmit powers </w:t>
      </w:r>
      <w:r w:rsidRPr="00C454BA">
        <w:rPr>
          <w:i/>
          <w:iCs/>
          <w:lang w:val="en-GB"/>
        </w:rPr>
        <w:t>P</w:t>
      </w:r>
      <w:r w:rsidRPr="00C454BA">
        <w:rPr>
          <w:i/>
          <w:iCs/>
          <w:vertAlign w:val="subscript"/>
          <w:lang w:val="en-GB"/>
        </w:rPr>
        <w:t>min</w:t>
      </w:r>
      <w:r w:rsidRPr="00C454BA">
        <w:rPr>
          <w:sz w:val="12"/>
          <w:lang w:val="en-GB"/>
        </w:rPr>
        <w:t> </w:t>
      </w:r>
      <w:r w:rsidRPr="00C454BA">
        <w:rPr>
          <w:lang w:val="en-GB"/>
        </w:rPr>
        <w:t>/</w:t>
      </w:r>
      <w:r w:rsidRPr="00C454BA">
        <w:rPr>
          <w:i/>
          <w:iCs/>
          <w:lang w:val="en-GB"/>
        </w:rPr>
        <w:t>P</w:t>
      </w:r>
      <w:r w:rsidRPr="00C454BA">
        <w:rPr>
          <w:i/>
          <w:iCs/>
          <w:vertAlign w:val="subscript"/>
          <w:lang w:val="en-GB"/>
        </w:rPr>
        <w:t>max</w:t>
      </w:r>
      <w:r w:rsidRPr="00C454BA">
        <w:rPr>
          <w:lang w:val="en-GB"/>
        </w:rPr>
        <w:t xml:space="preserve"> and determines the minimum power reduction ratio to prevent UE with good channel conditions to transmit at very low power level. PL is the path-loss for the UE from its serving base station and </w:t>
      </w:r>
      <w:r w:rsidRPr="00C454BA">
        <w:rPr>
          <w:i/>
          <w:iCs/>
          <w:lang w:val="en-GB"/>
        </w:rPr>
        <w:t>PL</w:t>
      </w:r>
      <w:r w:rsidRPr="00C454BA">
        <w:rPr>
          <w:i/>
          <w:iCs/>
          <w:vertAlign w:val="subscript"/>
          <w:lang w:val="en-GB"/>
        </w:rPr>
        <w:t>x-ile</w:t>
      </w:r>
      <w:r w:rsidRPr="00C454BA">
        <w:rPr>
          <w:lang w:val="en-GB"/>
        </w:rPr>
        <w:t xml:space="preserve"> is the x-percentile path-loss (plus shadowing) value. With this power control scheme, the 1-x percent of UE that have a path-loss </w:t>
      </w:r>
      <w:r w:rsidRPr="00C454BA">
        <w:rPr>
          <w:lang w:val="en-GB"/>
        </w:rPr>
        <w:lastRenderedPageBreak/>
        <w:t xml:space="preserve">larger than </w:t>
      </w:r>
      <w:r w:rsidRPr="00C454BA">
        <w:rPr>
          <w:i/>
          <w:iCs/>
          <w:lang w:val="en-GB"/>
        </w:rPr>
        <w:t>PL</w:t>
      </w:r>
      <w:r w:rsidRPr="00C454BA">
        <w:rPr>
          <w:i/>
          <w:iCs/>
          <w:vertAlign w:val="subscript"/>
          <w:lang w:val="en-GB"/>
        </w:rPr>
        <w:t>x-ile</w:t>
      </w:r>
      <w:r w:rsidRPr="00C454BA">
        <w:rPr>
          <w:lang w:val="en-GB"/>
        </w:rPr>
        <w:t xml:space="preserve"> will transmit at </w:t>
      </w:r>
      <w:r w:rsidRPr="00C454BA">
        <w:rPr>
          <w:i/>
          <w:iCs/>
          <w:lang w:val="en-GB"/>
        </w:rPr>
        <w:t>P</w:t>
      </w:r>
      <w:r w:rsidRPr="00C454BA">
        <w:rPr>
          <w:i/>
          <w:iCs/>
          <w:vertAlign w:val="subscript"/>
          <w:lang w:val="en-GB"/>
        </w:rPr>
        <w:t>max</w:t>
      </w:r>
      <w:r w:rsidRPr="00C454BA">
        <w:rPr>
          <w:lang w:val="en-GB"/>
        </w:rPr>
        <w:t>. Finally, 0</w:t>
      </w:r>
      <w:r w:rsidR="00A350D7" w:rsidRPr="00C454BA">
        <w:rPr>
          <w:lang w:val="en-GB"/>
        </w:rPr>
        <w:t xml:space="preserve"> </w:t>
      </w:r>
      <w:r w:rsidRPr="00C454BA">
        <w:rPr>
          <w:lang w:val="en-GB"/>
        </w:rPr>
        <w:t>&lt;</w:t>
      </w:r>
      <w:r w:rsidR="00A350D7" w:rsidRPr="00C454BA">
        <w:rPr>
          <w:lang w:val="en-GB"/>
        </w:rPr>
        <w:t xml:space="preserve"> </w:t>
      </w:r>
      <w:r w:rsidRPr="00C454BA">
        <w:rPr>
          <w:lang w:val="en-GB"/>
        </w:rPr>
        <w:t>γ</w:t>
      </w:r>
      <w:r w:rsidR="00A350D7" w:rsidRPr="00C454BA">
        <w:rPr>
          <w:lang w:val="en-GB"/>
        </w:rPr>
        <w:t xml:space="preserve"> </w:t>
      </w:r>
      <w:r w:rsidRPr="00C454BA">
        <w:rPr>
          <w:lang w:val="en-GB"/>
        </w:rPr>
        <w:t>&lt;=</w:t>
      </w:r>
      <w:r w:rsidR="00A350D7" w:rsidRPr="00C454BA">
        <w:rPr>
          <w:lang w:val="en-GB"/>
        </w:rPr>
        <w:t xml:space="preserve"> </w:t>
      </w:r>
      <w:r w:rsidRPr="00C454BA">
        <w:rPr>
          <w:lang w:val="en-GB"/>
        </w:rPr>
        <w:t>1 is the balancing factor for UE with bad channels and UE with good channels.</w:t>
      </w:r>
    </w:p>
    <w:p w:rsidR="000E0A27" w:rsidRPr="00C454BA" w:rsidRDefault="000E0A27" w:rsidP="000E0A27">
      <w:pPr>
        <w:rPr>
          <w:lang w:val="en-GB"/>
        </w:rPr>
      </w:pPr>
      <w:r w:rsidRPr="00C454BA">
        <w:rPr>
          <w:lang w:val="en-GB"/>
        </w:rPr>
        <w:t>The analysis assumes that there is a sufficient number of IMT UE in each sector to fully occupy the bandwidth of the FS receive station receiver. The number of “snapshots” used for the Monte Carlo simulation is set to 50.</w:t>
      </w:r>
    </w:p>
    <w:p w:rsidR="000E0A27" w:rsidRPr="00C454BA" w:rsidRDefault="000E0A27" w:rsidP="000E0A27">
      <w:pPr>
        <w:rPr>
          <w:lang w:val="en-GB"/>
        </w:rPr>
      </w:pPr>
      <w:r w:rsidRPr="00C454BA">
        <w:rPr>
          <w:lang w:val="en-GB"/>
        </w:rPr>
        <w:t>Again, both co-channel and adjacent channel scenarios are addressed.</w:t>
      </w:r>
    </w:p>
    <w:p w:rsidR="000E0A27" w:rsidRPr="00C454BA" w:rsidRDefault="000E0A27" w:rsidP="000E0A27">
      <w:pPr>
        <w:rPr>
          <w:lang w:val="en-GB"/>
        </w:rPr>
      </w:pPr>
      <w:r w:rsidRPr="00C454BA">
        <w:rPr>
          <w:lang w:val="en-GB"/>
        </w:rPr>
        <w:t>Interference levels are calculated as follows:</w:t>
      </w:r>
    </w:p>
    <w:p w:rsidR="000E0A27" w:rsidRPr="00C454BA" w:rsidRDefault="000E0A27" w:rsidP="000E0A27">
      <w:pPr>
        <w:pStyle w:val="equation0"/>
        <w:jc w:val="center"/>
        <w:rPr>
          <w:lang w:val="en-GB"/>
        </w:rPr>
      </w:pPr>
      <w:r w:rsidRPr="00C454BA">
        <w:rPr>
          <w:lang w:val="en-GB"/>
        </w:rPr>
        <w:object w:dxaOrig="8059" w:dyaOrig="360">
          <v:shape id="_x0000_i1027" type="#_x0000_t75" style="width:403.5pt;height:18.7pt" o:ole="">
            <v:imagedata r:id="rId21" o:title=""/>
          </v:shape>
          <o:OLEObject Type="Embed" ProgID="Equation.3" ShapeID="_x0000_i1027" DrawAspect="Content" ObjectID="_1489930791" r:id="rId22"/>
        </w:object>
      </w:r>
    </w:p>
    <w:p w:rsidR="000E0A27" w:rsidRPr="00C454BA" w:rsidRDefault="000E0A27" w:rsidP="000E0A27">
      <w:pPr>
        <w:rPr>
          <w:szCs w:val="24"/>
          <w:lang w:val="en-GB"/>
        </w:rPr>
      </w:pPr>
      <w:r w:rsidRPr="00C454BA">
        <w:rPr>
          <w:szCs w:val="24"/>
          <w:lang w:val="en-GB"/>
        </w:rPr>
        <w:t>where:</w:t>
      </w:r>
    </w:p>
    <w:p w:rsidR="000E0A27" w:rsidRPr="00C454BA" w:rsidRDefault="000E0A27" w:rsidP="000E0A27">
      <w:pPr>
        <w:pStyle w:val="Equationlegend"/>
        <w:rPr>
          <w:lang w:val="en-GB"/>
        </w:rPr>
      </w:pPr>
      <w:r w:rsidRPr="00C454BA">
        <w:rPr>
          <w:lang w:val="en-GB"/>
        </w:rPr>
        <w:tab/>
        <w:t>I</w:t>
      </w:r>
      <w:r w:rsidRPr="00C454BA">
        <w:rPr>
          <w:vertAlign w:val="subscript"/>
          <w:lang w:val="en-GB"/>
        </w:rPr>
        <w:t>0</w:t>
      </w:r>
      <w:r w:rsidRPr="00C454BA">
        <w:rPr>
          <w:lang w:val="en-GB"/>
        </w:rPr>
        <w:t>:</w:t>
      </w:r>
      <w:r w:rsidRPr="00C454BA">
        <w:rPr>
          <w:lang w:val="en-GB"/>
        </w:rPr>
        <w:tab/>
        <w:t>Interference power density, dBW/Hz</w:t>
      </w:r>
    </w:p>
    <w:p w:rsidR="000E0A27" w:rsidRPr="00C454BA" w:rsidRDefault="000E0A27" w:rsidP="000E0A27">
      <w:pPr>
        <w:pStyle w:val="Equationlegend"/>
        <w:rPr>
          <w:lang w:val="en-GB"/>
        </w:rPr>
      </w:pPr>
      <w:r w:rsidRPr="00C454BA">
        <w:rPr>
          <w:lang w:val="en-GB"/>
        </w:rPr>
        <w:tab/>
        <w:t>PD</w:t>
      </w:r>
      <w:r w:rsidRPr="00C454BA">
        <w:rPr>
          <w:vertAlign w:val="subscript"/>
          <w:lang w:val="en-GB"/>
        </w:rPr>
        <w:t>tx</w:t>
      </w:r>
      <w:r w:rsidRPr="00C454BA">
        <w:rPr>
          <w:lang w:val="en-GB"/>
        </w:rPr>
        <w:t>:</w:t>
      </w:r>
      <w:r w:rsidRPr="00C454BA">
        <w:rPr>
          <w:lang w:val="en-GB"/>
        </w:rPr>
        <w:tab/>
        <w:t>Transmit station signal power density, dBW/Hz</w:t>
      </w:r>
    </w:p>
    <w:p w:rsidR="000E0A27" w:rsidRPr="00C454BA" w:rsidRDefault="000E0A27" w:rsidP="000E0A27">
      <w:pPr>
        <w:pStyle w:val="Equationlegend"/>
        <w:rPr>
          <w:lang w:val="en-GB"/>
        </w:rPr>
      </w:pPr>
      <w:r w:rsidRPr="00C454BA">
        <w:rPr>
          <w:lang w:val="en-GB"/>
        </w:rPr>
        <w:tab/>
        <w:t>FL</w:t>
      </w:r>
      <w:r w:rsidRPr="00C454BA">
        <w:rPr>
          <w:vertAlign w:val="subscript"/>
          <w:lang w:val="en-GB"/>
        </w:rPr>
        <w:t>tx</w:t>
      </w:r>
      <w:r w:rsidRPr="00C454BA">
        <w:rPr>
          <w:lang w:val="en-GB"/>
        </w:rPr>
        <w:t>:</w:t>
      </w:r>
      <w:r w:rsidRPr="00C454BA">
        <w:rPr>
          <w:lang w:val="en-GB"/>
        </w:rPr>
        <w:tab/>
        <w:t>Transmit station feeder loss, dB</w:t>
      </w:r>
    </w:p>
    <w:p w:rsidR="000E0A27" w:rsidRPr="00C454BA" w:rsidRDefault="000E0A27" w:rsidP="000E0A27">
      <w:pPr>
        <w:pStyle w:val="Equationlegend"/>
        <w:rPr>
          <w:lang w:val="en-GB"/>
        </w:rPr>
      </w:pPr>
      <w:r w:rsidRPr="00C454BA">
        <w:rPr>
          <w:lang w:val="en-GB"/>
        </w:rPr>
        <w:tab/>
        <w:t>HL</w:t>
      </w:r>
      <w:r w:rsidRPr="00C454BA">
        <w:rPr>
          <w:vertAlign w:val="subscript"/>
          <w:lang w:val="en-GB"/>
        </w:rPr>
        <w:t>tx</w:t>
      </w:r>
      <w:r w:rsidRPr="00C454BA">
        <w:rPr>
          <w:lang w:val="en-GB"/>
        </w:rPr>
        <w:t>:</w:t>
      </w:r>
      <w:r w:rsidRPr="00C454BA">
        <w:rPr>
          <w:lang w:val="en-GB"/>
        </w:rPr>
        <w:tab/>
        <w:t>Transmit station head loss (applicable only to UE), dB</w:t>
      </w:r>
    </w:p>
    <w:p w:rsidR="000E0A27" w:rsidRPr="00C454BA" w:rsidRDefault="000E0A27" w:rsidP="000E0A27">
      <w:pPr>
        <w:pStyle w:val="Equationlegend"/>
        <w:rPr>
          <w:lang w:val="en-GB"/>
        </w:rPr>
      </w:pPr>
      <w:r w:rsidRPr="00C454BA">
        <w:rPr>
          <w:lang w:val="en-GB"/>
        </w:rPr>
        <w:tab/>
        <w:t>G</w:t>
      </w:r>
      <w:r w:rsidRPr="00C454BA">
        <w:rPr>
          <w:vertAlign w:val="subscript"/>
          <w:lang w:val="en-GB"/>
        </w:rPr>
        <w:t>tx</w:t>
      </w:r>
      <w:r w:rsidRPr="00C454BA">
        <w:rPr>
          <w:lang w:val="en-GB"/>
        </w:rPr>
        <w:t>(θ</w:t>
      </w:r>
      <w:r w:rsidRPr="00C454BA">
        <w:rPr>
          <w:vertAlign w:val="subscript"/>
          <w:lang w:val="en-GB"/>
        </w:rPr>
        <w:t>tx</w:t>
      </w:r>
      <w:r w:rsidRPr="00C454BA">
        <w:rPr>
          <w:lang w:val="en-GB"/>
        </w:rPr>
        <w:t>):</w:t>
      </w:r>
      <w:r w:rsidRPr="00C454BA">
        <w:rPr>
          <w:lang w:val="en-GB"/>
        </w:rPr>
        <w:tab/>
        <w:t>Transmit station antenna gain in direction of receive station, dBi</w:t>
      </w:r>
    </w:p>
    <w:p w:rsidR="000E0A27" w:rsidRPr="00C454BA" w:rsidRDefault="000E0A27" w:rsidP="000E0A27">
      <w:pPr>
        <w:pStyle w:val="Equationlegend"/>
        <w:rPr>
          <w:lang w:val="en-GB"/>
        </w:rPr>
      </w:pPr>
      <w:r w:rsidRPr="00C454BA">
        <w:rPr>
          <w:lang w:val="en-GB"/>
        </w:rPr>
        <w:tab/>
        <w:t>BL</w:t>
      </w:r>
      <w:r w:rsidRPr="00C454BA">
        <w:rPr>
          <w:vertAlign w:val="subscript"/>
          <w:lang w:val="en-GB"/>
        </w:rPr>
        <w:t>tx</w:t>
      </w:r>
      <w:r w:rsidRPr="00C454BA">
        <w:rPr>
          <w:lang w:val="en-GB"/>
        </w:rPr>
        <w:t>:</w:t>
      </w:r>
      <w:r w:rsidRPr="00C454BA">
        <w:rPr>
          <w:lang w:val="en-GB"/>
        </w:rPr>
        <w:tab/>
        <w:t>Building penetration loss (applicable only to indoor transmit stations), dB</w:t>
      </w:r>
    </w:p>
    <w:p w:rsidR="000E0A27" w:rsidRPr="00C454BA" w:rsidRDefault="000E0A27" w:rsidP="000E0A27">
      <w:pPr>
        <w:pStyle w:val="Equationlegend"/>
        <w:rPr>
          <w:lang w:val="en-GB"/>
        </w:rPr>
      </w:pPr>
      <w:r w:rsidRPr="00C454BA">
        <w:rPr>
          <w:lang w:val="en-GB"/>
        </w:rPr>
        <w:tab/>
        <w:t>PL:</w:t>
      </w:r>
      <w:r w:rsidRPr="00C454BA">
        <w:rPr>
          <w:lang w:val="en-GB"/>
        </w:rPr>
        <w:tab/>
        <w:t>Propagation loss, dB</w:t>
      </w:r>
    </w:p>
    <w:p w:rsidR="000E0A27" w:rsidRPr="00C454BA" w:rsidRDefault="000E0A27" w:rsidP="000E0A27">
      <w:pPr>
        <w:pStyle w:val="Equationlegend"/>
        <w:rPr>
          <w:lang w:val="en-GB"/>
        </w:rPr>
      </w:pPr>
      <w:r w:rsidRPr="00C454BA">
        <w:rPr>
          <w:lang w:val="en-GB"/>
        </w:rPr>
        <w:tab/>
        <w:t>BL</w:t>
      </w:r>
      <w:r w:rsidRPr="00C454BA">
        <w:rPr>
          <w:vertAlign w:val="subscript"/>
          <w:lang w:val="en-GB"/>
        </w:rPr>
        <w:t>rx</w:t>
      </w:r>
      <w:r w:rsidRPr="00C454BA">
        <w:rPr>
          <w:lang w:val="en-GB"/>
        </w:rPr>
        <w:t>:</w:t>
      </w:r>
      <w:r w:rsidRPr="00C454BA">
        <w:rPr>
          <w:lang w:val="en-GB"/>
        </w:rPr>
        <w:tab/>
        <w:t>Building penetration loss (applicable only to indoor receive stations), dB</w:t>
      </w:r>
    </w:p>
    <w:p w:rsidR="000E0A27" w:rsidRPr="00C454BA" w:rsidRDefault="000E0A27" w:rsidP="000E0A27">
      <w:pPr>
        <w:pStyle w:val="Equationlegend"/>
        <w:rPr>
          <w:lang w:val="en-GB"/>
        </w:rPr>
      </w:pPr>
      <w:r w:rsidRPr="00C454BA">
        <w:rPr>
          <w:lang w:val="en-GB"/>
        </w:rPr>
        <w:tab/>
        <w:t>G</w:t>
      </w:r>
      <w:r w:rsidRPr="00C454BA">
        <w:rPr>
          <w:vertAlign w:val="subscript"/>
          <w:lang w:val="en-GB"/>
        </w:rPr>
        <w:t>rx</w:t>
      </w:r>
      <w:r w:rsidRPr="00C454BA">
        <w:rPr>
          <w:lang w:val="en-GB"/>
        </w:rPr>
        <w:t>(θ</w:t>
      </w:r>
      <w:r w:rsidRPr="00C454BA">
        <w:rPr>
          <w:vertAlign w:val="subscript"/>
          <w:lang w:val="en-GB"/>
        </w:rPr>
        <w:t>rx</w:t>
      </w:r>
      <w:r w:rsidRPr="00C454BA">
        <w:rPr>
          <w:lang w:val="en-GB"/>
        </w:rPr>
        <w:t>):</w:t>
      </w:r>
      <w:r w:rsidRPr="00C454BA">
        <w:rPr>
          <w:lang w:val="en-GB"/>
        </w:rPr>
        <w:tab/>
        <w:t>Receive station antenna gain in direction of transmit station, dBi</w:t>
      </w:r>
    </w:p>
    <w:p w:rsidR="000E0A27" w:rsidRPr="00C454BA" w:rsidRDefault="000E0A27" w:rsidP="000E0A27">
      <w:pPr>
        <w:pStyle w:val="Equationlegend"/>
        <w:rPr>
          <w:lang w:val="en-GB"/>
        </w:rPr>
      </w:pPr>
      <w:r w:rsidRPr="00C454BA">
        <w:rPr>
          <w:lang w:val="en-GB"/>
        </w:rPr>
        <w:tab/>
        <w:t>FL</w:t>
      </w:r>
      <w:r w:rsidRPr="00C454BA">
        <w:rPr>
          <w:vertAlign w:val="subscript"/>
          <w:lang w:val="en-GB"/>
        </w:rPr>
        <w:t>rx</w:t>
      </w:r>
      <w:r w:rsidRPr="00C454BA">
        <w:rPr>
          <w:lang w:val="en-GB"/>
        </w:rPr>
        <w:t>:</w:t>
      </w:r>
      <w:r w:rsidRPr="00C454BA">
        <w:rPr>
          <w:lang w:val="en-GB"/>
        </w:rPr>
        <w:tab/>
        <w:t>Receive station feeder loss, dB</w:t>
      </w:r>
    </w:p>
    <w:p w:rsidR="000E0A27" w:rsidRPr="00C454BA" w:rsidRDefault="000E0A27" w:rsidP="000E0A27">
      <w:pPr>
        <w:pStyle w:val="Equationlegend"/>
        <w:rPr>
          <w:lang w:val="en-GB"/>
        </w:rPr>
      </w:pPr>
      <w:r w:rsidRPr="00C454BA">
        <w:rPr>
          <w:lang w:val="en-GB"/>
        </w:rPr>
        <w:tab/>
        <w:t>HL</w:t>
      </w:r>
      <w:r w:rsidRPr="00C454BA">
        <w:rPr>
          <w:vertAlign w:val="subscript"/>
          <w:lang w:val="en-GB"/>
        </w:rPr>
        <w:t>rx</w:t>
      </w:r>
      <w:r w:rsidRPr="00C454BA">
        <w:rPr>
          <w:lang w:val="en-GB"/>
        </w:rPr>
        <w:t>:</w:t>
      </w:r>
      <w:r w:rsidRPr="00C454BA">
        <w:rPr>
          <w:lang w:val="en-GB"/>
        </w:rPr>
        <w:tab/>
        <w:t>Receive station head loss (applicable only to UE), dB</w:t>
      </w:r>
    </w:p>
    <w:p w:rsidR="000E0A27" w:rsidRPr="00C454BA" w:rsidRDefault="000E0A27" w:rsidP="000E0A27">
      <w:pPr>
        <w:pStyle w:val="Equationlegend"/>
        <w:rPr>
          <w:lang w:val="en-GB"/>
        </w:rPr>
      </w:pPr>
      <w:r w:rsidRPr="00C454BA">
        <w:rPr>
          <w:lang w:val="en-GB"/>
        </w:rPr>
        <w:tab/>
        <w:t>PD:</w:t>
      </w:r>
      <w:r w:rsidRPr="00C454BA">
        <w:rPr>
          <w:lang w:val="en-GB"/>
        </w:rPr>
        <w:tab/>
        <w:t>Polarization discrimination, dB.</w:t>
      </w:r>
    </w:p>
    <w:p w:rsidR="000E0A27" w:rsidRPr="00C454BA" w:rsidRDefault="000E0A27" w:rsidP="000E0A27">
      <w:pPr>
        <w:rPr>
          <w:szCs w:val="24"/>
          <w:lang w:val="en-GB"/>
        </w:rPr>
      </w:pPr>
      <w:r w:rsidRPr="00C454BA">
        <w:rPr>
          <w:szCs w:val="24"/>
          <w:lang w:val="en-GB"/>
        </w:rPr>
        <w:t>The required rejection is determined from the interference level as follows:</w:t>
      </w:r>
    </w:p>
    <w:p w:rsidR="000E0A27" w:rsidRPr="00C454BA" w:rsidRDefault="000E0A27" w:rsidP="000E0A27">
      <w:pPr>
        <w:pStyle w:val="equation0"/>
        <w:rPr>
          <w:lang w:val="en-GB"/>
        </w:rPr>
      </w:pPr>
      <w:r w:rsidRPr="00C454BA">
        <w:rPr>
          <w:lang w:val="en-GB"/>
        </w:rPr>
        <w:tab/>
      </w:r>
      <w:r w:rsidRPr="00C454BA">
        <w:rPr>
          <w:lang w:val="en-GB"/>
        </w:rPr>
        <w:object w:dxaOrig="1500" w:dyaOrig="360">
          <v:shape id="_x0000_i1028" type="#_x0000_t75" style="width:75.75pt;height:18.7pt" o:ole="">
            <v:imagedata r:id="rId23" o:title=""/>
          </v:shape>
          <o:OLEObject Type="Embed" ProgID="Equation.3" ShapeID="_x0000_i1028" DrawAspect="Content" ObjectID="_1489930792" r:id="rId24"/>
        </w:object>
      </w:r>
    </w:p>
    <w:p w:rsidR="000E0A27" w:rsidRPr="00C454BA" w:rsidRDefault="000E0A27" w:rsidP="000E0A27">
      <w:pPr>
        <w:pStyle w:val="equation0"/>
        <w:rPr>
          <w:lang w:val="en-GB"/>
        </w:rPr>
      </w:pPr>
      <w:r w:rsidRPr="00C454BA">
        <w:rPr>
          <w:lang w:val="en-GB"/>
        </w:rPr>
        <w:tab/>
      </w:r>
      <w:r w:rsidRPr="00C454BA">
        <w:rPr>
          <w:position w:val="-14"/>
          <w:lang w:val="en-GB"/>
        </w:rPr>
        <w:object w:dxaOrig="1860" w:dyaOrig="380">
          <v:shape id="_x0000_i1029" type="#_x0000_t75" style="width:93.05pt;height:18.7pt" o:ole="">
            <v:imagedata r:id="rId25" o:title=""/>
          </v:shape>
          <o:OLEObject Type="Embed" ProgID="Equation.3" ShapeID="_x0000_i1029" DrawAspect="Content" ObjectID="_1489930793" r:id="rId26"/>
        </w:object>
      </w:r>
    </w:p>
    <w:p w:rsidR="000E0A27" w:rsidRPr="00C454BA" w:rsidRDefault="000E0A27" w:rsidP="000E0A27">
      <w:pPr>
        <w:rPr>
          <w:szCs w:val="24"/>
          <w:lang w:val="en-GB"/>
        </w:rPr>
      </w:pPr>
      <w:r w:rsidRPr="00C454BA">
        <w:rPr>
          <w:szCs w:val="24"/>
          <w:lang w:val="en-GB"/>
        </w:rPr>
        <w:t>where:</w:t>
      </w:r>
    </w:p>
    <w:p w:rsidR="000E0A27" w:rsidRPr="00C454BA" w:rsidRDefault="000E0A27" w:rsidP="00AD72AE">
      <w:pPr>
        <w:pStyle w:val="Equationlegend"/>
        <w:rPr>
          <w:lang w:val="en-GB"/>
        </w:rPr>
      </w:pPr>
      <w:r w:rsidRPr="00C454BA">
        <w:rPr>
          <w:lang w:val="en-GB"/>
        </w:rPr>
        <w:tab/>
        <w:t>N</w:t>
      </w:r>
      <w:r w:rsidRPr="00C454BA">
        <w:rPr>
          <w:vertAlign w:val="subscript"/>
          <w:lang w:val="en-GB"/>
        </w:rPr>
        <w:t>0</w:t>
      </w:r>
      <w:r w:rsidR="00AD72AE" w:rsidRPr="00C454BA">
        <w:rPr>
          <w:lang w:val="en-GB"/>
        </w:rPr>
        <w:t>:</w:t>
      </w:r>
      <w:r w:rsidRPr="00C454BA">
        <w:rPr>
          <w:lang w:val="en-GB"/>
        </w:rPr>
        <w:tab/>
        <w:t>Receive station noise power density, dBW/Hz</w:t>
      </w:r>
    </w:p>
    <w:p w:rsidR="000E0A27" w:rsidRPr="00C454BA" w:rsidRDefault="000E0A27" w:rsidP="00AD72AE">
      <w:pPr>
        <w:pStyle w:val="Equationlegend"/>
        <w:rPr>
          <w:lang w:val="en-GB"/>
        </w:rPr>
      </w:pPr>
      <w:r w:rsidRPr="00C454BA">
        <w:rPr>
          <w:lang w:val="en-GB"/>
        </w:rPr>
        <w:tab/>
        <w:t>R</w:t>
      </w:r>
      <w:r w:rsidR="00AD72AE" w:rsidRPr="00C454BA">
        <w:rPr>
          <w:lang w:val="en-GB"/>
        </w:rPr>
        <w:t>:</w:t>
      </w:r>
      <w:r w:rsidRPr="00C454BA">
        <w:rPr>
          <w:lang w:val="en-GB"/>
        </w:rPr>
        <w:tab/>
        <w:t>Rejection needed to meet protection requirement, dB</w:t>
      </w:r>
    </w:p>
    <w:p w:rsidR="000E0A27" w:rsidRPr="00C454BA" w:rsidRDefault="000E0A27" w:rsidP="00AD72AE">
      <w:pPr>
        <w:pStyle w:val="Equationlegend"/>
        <w:rPr>
          <w:lang w:val="en-GB"/>
        </w:rPr>
      </w:pPr>
      <w:r w:rsidRPr="00C454BA">
        <w:rPr>
          <w:lang w:val="en-GB"/>
        </w:rPr>
        <w:tab/>
        <w:t>I/N</w:t>
      </w:r>
      <w:r w:rsidRPr="00C454BA">
        <w:rPr>
          <w:vertAlign w:val="subscript"/>
          <w:lang w:val="en-GB"/>
        </w:rPr>
        <w:t>reqt</w:t>
      </w:r>
      <w:r w:rsidR="00AD72AE" w:rsidRPr="00C454BA">
        <w:rPr>
          <w:lang w:val="en-GB"/>
        </w:rPr>
        <w:t>:</w:t>
      </w:r>
      <w:r w:rsidRPr="00C454BA">
        <w:rPr>
          <w:lang w:val="en-GB"/>
        </w:rPr>
        <w:tab/>
        <w:t>I/N protection requirement, dB</w:t>
      </w:r>
    </w:p>
    <w:p w:rsidR="000E0A27" w:rsidRPr="00C454BA" w:rsidRDefault="000E0A27" w:rsidP="000E0A27">
      <w:pPr>
        <w:pStyle w:val="Headingb"/>
        <w:rPr>
          <w:lang w:val="en-GB"/>
        </w:rPr>
      </w:pPr>
      <w:r w:rsidRPr="00C454BA">
        <w:rPr>
          <w:lang w:val="en-GB"/>
        </w:rPr>
        <w:t>System characteristics</w:t>
      </w:r>
    </w:p>
    <w:p w:rsidR="000E0A27" w:rsidRPr="00C454BA" w:rsidRDefault="000E0A27" w:rsidP="000E0A27">
      <w:pPr>
        <w:rPr>
          <w:szCs w:val="24"/>
          <w:lang w:val="en-GB"/>
        </w:rPr>
      </w:pPr>
      <w:r w:rsidRPr="00C454BA">
        <w:rPr>
          <w:szCs w:val="24"/>
          <w:lang w:val="en-GB"/>
        </w:rPr>
        <w:t xml:space="preserve">The following tables summarize the IMT and FS characteristics considered for this analysis (see Report </w:t>
      </w:r>
      <w:hyperlink r:id="rId27" w:history="1">
        <w:r w:rsidRPr="002F3F9A">
          <w:rPr>
            <w:rStyle w:val="Hyperlink"/>
            <w:szCs w:val="24"/>
            <w:u w:val="none"/>
            <w:lang w:val="en-GB"/>
          </w:rPr>
          <w:t>ITU-R M.2292</w:t>
        </w:r>
      </w:hyperlink>
      <w:r w:rsidRPr="00C454BA">
        <w:rPr>
          <w:szCs w:val="24"/>
          <w:lang w:val="en-GB"/>
        </w:rPr>
        <w:t>). FS system characteristics are provided in Recommendations ITU-R F.758 and ITU-R F.1777. Note that the FS reference material does not address adjacent channel selectivity, and values similar to those for the IMT base station are assumed for this analysis.</w:t>
      </w:r>
    </w:p>
    <w:p w:rsidR="000E0A27" w:rsidRPr="00C454BA" w:rsidRDefault="00D70828" w:rsidP="00D70828">
      <w:pPr>
        <w:pStyle w:val="TableNo"/>
        <w:rPr>
          <w:lang w:val="en-GB"/>
        </w:rPr>
      </w:pPr>
      <w:r w:rsidRPr="00C454BA">
        <w:rPr>
          <w:lang w:val="en-GB"/>
        </w:rPr>
        <w:lastRenderedPageBreak/>
        <w:t xml:space="preserve">TABLE </w:t>
      </w:r>
      <w:r w:rsidR="000E0A27" w:rsidRPr="00C454BA">
        <w:rPr>
          <w:lang w:val="en-GB"/>
        </w:rPr>
        <w:t>1</w:t>
      </w:r>
    </w:p>
    <w:p w:rsidR="000E0A27" w:rsidRPr="00C454BA" w:rsidRDefault="000E0A27" w:rsidP="000E0A27">
      <w:pPr>
        <w:pStyle w:val="Tabletitle"/>
        <w:rPr>
          <w:lang w:val="en-GB"/>
        </w:rPr>
      </w:pPr>
      <w:r w:rsidRPr="00C454BA">
        <w:rPr>
          <w:lang w:val="en-GB"/>
        </w:rPr>
        <w:t>IMT base station characteristics</w:t>
      </w:r>
    </w:p>
    <w:tbl>
      <w:tblPr>
        <w:tblW w:w="9638" w:type="dxa"/>
        <w:jc w:val="center"/>
        <w:tblLayout w:type="fixed"/>
        <w:tblLook w:val="04A0" w:firstRow="1" w:lastRow="0" w:firstColumn="1" w:lastColumn="0" w:noHBand="0" w:noVBand="1"/>
      </w:tblPr>
      <w:tblGrid>
        <w:gridCol w:w="2494"/>
        <w:gridCol w:w="1786"/>
        <w:gridCol w:w="1786"/>
        <w:gridCol w:w="1786"/>
        <w:gridCol w:w="1786"/>
      </w:tblGrid>
      <w:tr w:rsidR="00526E32" w:rsidRPr="00C454BA" w:rsidTr="00526E32">
        <w:trPr>
          <w:jc w:val="center"/>
        </w:trPr>
        <w:tc>
          <w:tcPr>
            <w:tcW w:w="2494"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Parameter</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Macro urban</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Macro suburban</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Small Cell Outdoor</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Small Cell Indoor</w:t>
            </w:r>
          </w:p>
        </w:tc>
      </w:tr>
      <w:tr w:rsidR="00526E32" w:rsidRPr="00C454BA" w:rsidTr="00526E32">
        <w:trPr>
          <w:jc w:val="center"/>
        </w:trPr>
        <w:tc>
          <w:tcPr>
            <w:tcW w:w="2494" w:type="dxa"/>
            <w:tcBorders>
              <w:top w:val="single" w:sz="4" w:space="0" w:color="auto"/>
              <w:left w:val="single" w:sz="4" w:space="0" w:color="auto"/>
              <w:bottom w:val="nil"/>
              <w:right w:val="single" w:sz="4" w:space="0" w:color="auto"/>
            </w:tcBorders>
          </w:tcPr>
          <w:p w:rsidR="00526E32" w:rsidRPr="00C454BA" w:rsidRDefault="00526E32" w:rsidP="00526E32">
            <w:pPr>
              <w:pStyle w:val="Tablehead"/>
              <w:keepLines/>
              <w:jc w:val="left"/>
              <w:rPr>
                <w:lang w:val="en-GB"/>
              </w:rPr>
            </w:pPr>
            <w:r w:rsidRPr="00C454BA">
              <w:rPr>
                <w:lang w:val="en-GB"/>
              </w:rPr>
              <w:t>Deployment</w:t>
            </w: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Number of cells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ind w:left="142" w:hanging="142"/>
              <w:jc w:val="left"/>
              <w:rPr>
                <w:lang w:val="en-GB"/>
              </w:rPr>
            </w:pPr>
            <w:r w:rsidRPr="00C454BA">
              <w:rPr>
                <w:lang w:val="en-GB"/>
              </w:rPr>
              <w:tab/>
              <w:t>Number of sectors per cell</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Cell radius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0.6 km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 km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 km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 km</w:t>
            </w:r>
          </w:p>
        </w:tc>
      </w:tr>
      <w:tr w:rsidR="00526E32" w:rsidRPr="00C454BA" w:rsidTr="00526E32">
        <w:trPr>
          <w:jc w:val="center"/>
        </w:trPr>
        <w:tc>
          <w:tcPr>
            <w:tcW w:w="2494" w:type="dxa"/>
            <w:tcBorders>
              <w:top w:val="nil"/>
              <w:left w:val="single" w:sz="4" w:space="0" w:color="auto"/>
              <w:bottom w:val="single" w:sz="4" w:space="0" w:color="auto"/>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Percent indoor</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100%</w:t>
            </w:r>
          </w:p>
        </w:tc>
      </w:tr>
      <w:tr w:rsidR="00526E32" w:rsidRPr="00C454BA" w:rsidTr="00526E32">
        <w:trPr>
          <w:jc w:val="center"/>
        </w:trPr>
        <w:tc>
          <w:tcPr>
            <w:tcW w:w="2494"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r w:rsidRPr="00C454BA">
              <w:rPr>
                <w:lang w:val="en-GB"/>
              </w:rPr>
              <w:t>Base station</w:t>
            </w: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jc w:val="left"/>
              <w:rPr>
                <w:lang w:val="en-GB"/>
              </w:rPr>
            </w:pPr>
            <w:r w:rsidRPr="00C454BA">
              <w:rPr>
                <w:lang w:val="en-GB"/>
              </w:rPr>
              <w:t>Antenna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Height</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26 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20 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 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m</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Frequency range</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Peak gain</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18 dBi</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18 dBi</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5 dBi</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 dBi</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Gain pattern</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3.1)</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3.1)</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2)</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2)</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kp</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kh</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kv</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Horizontal beamwidth</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65 degrees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65 degrees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single" w:sz="4" w:space="0" w:color="auto"/>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Downtilt</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–6 degrees</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–10 degrees</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 degrees</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 degrees</w:t>
            </w:r>
          </w:p>
        </w:tc>
      </w:tr>
      <w:tr w:rsidR="00526E32" w:rsidRPr="00C454BA" w:rsidTr="00526E32">
        <w:trPr>
          <w:jc w:val="center"/>
        </w:trPr>
        <w:tc>
          <w:tcPr>
            <w:tcW w:w="2494"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r w:rsidRPr="00C454BA">
              <w:rPr>
                <w:lang w:val="en-GB"/>
              </w:rPr>
              <w:t>Transmitter</w:t>
            </w: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Power</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16 dBW</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16 dBW</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 dBW</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 dBW</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Activity factor</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Signal bandwidth</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Channel spacing</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Feeder loss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ACLR</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r>
            <w:r w:rsidRPr="00C454BA">
              <w:rPr>
                <w:lang w:val="en-GB"/>
              </w:rPr>
              <w:tab/>
              <w:t>1st adjacent</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r>
            <w:r w:rsidRPr="00C454BA">
              <w:rPr>
                <w:lang w:val="en-GB"/>
              </w:rPr>
              <w:tab/>
              <w:t>2nd adjacent</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r>
      <w:tr w:rsidR="00526E32" w:rsidRPr="00C454BA" w:rsidTr="00526E32">
        <w:trPr>
          <w:jc w:val="center"/>
        </w:trPr>
        <w:tc>
          <w:tcPr>
            <w:tcW w:w="2494" w:type="dxa"/>
            <w:tcBorders>
              <w:top w:val="nil"/>
              <w:left w:val="single" w:sz="4" w:space="0" w:color="auto"/>
              <w:bottom w:val="single" w:sz="4" w:space="0" w:color="auto"/>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r>
            <w:r w:rsidRPr="00C454BA">
              <w:rPr>
                <w:lang w:val="en-GB"/>
              </w:rPr>
              <w:tab/>
              <w:t xml:space="preserve">Spurious </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54 dB</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b/>
                <w:bCs/>
                <w:lang w:val="en-GB"/>
              </w:rPr>
            </w:pPr>
            <w:r w:rsidRPr="00C454BA">
              <w:rPr>
                <w:lang w:val="en-GB"/>
              </w:rPr>
              <w:t>54 dB</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b/>
                <w:bCs/>
                <w:lang w:val="en-GB"/>
              </w:rPr>
            </w:pPr>
            <w:r w:rsidRPr="00C454BA">
              <w:rPr>
                <w:lang w:val="en-GB"/>
              </w:rPr>
              <w:t>54 dB</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54 dB</w:t>
            </w:r>
          </w:p>
        </w:tc>
      </w:tr>
    </w:tbl>
    <w:p w:rsidR="0055215A" w:rsidRPr="00C454BA" w:rsidRDefault="0055215A" w:rsidP="0055215A">
      <w:pPr>
        <w:pStyle w:val="Tablefin"/>
      </w:pPr>
    </w:p>
    <w:p w:rsidR="000E0A27" w:rsidRPr="00C454BA" w:rsidRDefault="003304D7" w:rsidP="000E0A27">
      <w:pPr>
        <w:pStyle w:val="TableNo"/>
        <w:rPr>
          <w:lang w:val="en-GB"/>
        </w:rPr>
      </w:pPr>
      <w:r w:rsidRPr="00C454BA">
        <w:rPr>
          <w:lang w:val="en-GB"/>
        </w:rPr>
        <w:lastRenderedPageBreak/>
        <w:t xml:space="preserve">TABLE </w:t>
      </w:r>
      <w:r w:rsidR="000E0A27" w:rsidRPr="00C454BA">
        <w:rPr>
          <w:lang w:val="en-GB"/>
        </w:rPr>
        <w:t>2</w:t>
      </w:r>
    </w:p>
    <w:p w:rsidR="000E0A27" w:rsidRPr="00C454BA" w:rsidRDefault="000E0A27" w:rsidP="000E0A27">
      <w:pPr>
        <w:pStyle w:val="Tabletitle"/>
        <w:rPr>
          <w:szCs w:val="24"/>
          <w:lang w:val="en-GB"/>
        </w:rPr>
      </w:pPr>
      <w:r w:rsidRPr="00C454BA">
        <w:rPr>
          <w:lang w:val="en-GB"/>
        </w:rPr>
        <w:t>IMT UE characteristics</w:t>
      </w:r>
    </w:p>
    <w:tbl>
      <w:tblPr>
        <w:tblStyle w:val="TableGrid"/>
        <w:tblW w:w="0" w:type="auto"/>
        <w:jc w:val="center"/>
        <w:tblLayout w:type="fixed"/>
        <w:tblLook w:val="04A0" w:firstRow="1" w:lastRow="0" w:firstColumn="1" w:lastColumn="0" w:noHBand="0" w:noVBand="1"/>
      </w:tblPr>
      <w:tblGrid>
        <w:gridCol w:w="2381"/>
        <w:gridCol w:w="1814"/>
        <w:gridCol w:w="1814"/>
        <w:gridCol w:w="1814"/>
        <w:gridCol w:w="1814"/>
      </w:tblGrid>
      <w:tr w:rsidR="000E0A27" w:rsidRPr="00C454BA" w:rsidTr="00E843E0">
        <w:trPr>
          <w:jc w:val="center"/>
        </w:trPr>
        <w:tc>
          <w:tcPr>
            <w:tcW w:w="2381"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Parameter</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Macro Suburban</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Macro Urban</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Small Cell Outdoor</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Small Cell Indoor</w:t>
            </w:r>
          </w:p>
        </w:tc>
      </w:tr>
      <w:tr w:rsidR="000E0A27" w:rsidRPr="00C454BA" w:rsidTr="00E843E0">
        <w:trPr>
          <w:jc w:val="center"/>
        </w:trPr>
        <w:tc>
          <w:tcPr>
            <w:tcW w:w="2381" w:type="dxa"/>
            <w:tcBorders>
              <w:bottom w:val="nil"/>
            </w:tcBorders>
          </w:tcPr>
          <w:p w:rsidR="000E0A27" w:rsidRPr="00C454BA" w:rsidRDefault="000E0A27" w:rsidP="0055215A">
            <w:pPr>
              <w:pStyle w:val="Tabletext"/>
              <w:keepNext/>
              <w:keepLines/>
              <w:rPr>
                <w:rFonts w:asciiTheme="majorBidi" w:hAnsiTheme="majorBidi" w:cstheme="majorBidi"/>
                <w:b/>
                <w:bCs/>
                <w:lang w:val="en-GB"/>
              </w:rPr>
            </w:pPr>
            <w:r w:rsidRPr="00C454BA">
              <w:rPr>
                <w:rFonts w:asciiTheme="majorBidi" w:hAnsiTheme="majorBidi" w:cstheme="majorBidi"/>
                <w:b/>
                <w:bCs/>
                <w:lang w:val="en-GB"/>
              </w:rPr>
              <w:t>Deployment</w:t>
            </w: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single" w:sz="4" w:space="0" w:color="auto"/>
            </w:tcBorders>
          </w:tcPr>
          <w:p w:rsidR="000E0A27" w:rsidRPr="00C454BA" w:rsidRDefault="00AD72AE" w:rsidP="0055215A">
            <w:pPr>
              <w:pStyle w:val="Tabletext"/>
              <w:keepNext/>
              <w:keepLine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Percent indoor</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70%</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70%</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70%</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w:t>
            </w:r>
          </w:p>
        </w:tc>
      </w:tr>
      <w:tr w:rsidR="000E0A27" w:rsidRPr="00C454BA" w:rsidTr="00E843E0">
        <w:trPr>
          <w:jc w:val="center"/>
        </w:trPr>
        <w:tc>
          <w:tcPr>
            <w:tcW w:w="2381" w:type="dxa"/>
            <w:tcBorders>
              <w:bottom w:val="nil"/>
            </w:tcBorders>
          </w:tcPr>
          <w:p w:rsidR="000E0A27" w:rsidRPr="00C454BA" w:rsidRDefault="000E0A27" w:rsidP="0055215A">
            <w:pPr>
              <w:pStyle w:val="Tabletext"/>
              <w:keepNext/>
              <w:keepLines/>
              <w:rPr>
                <w:rFonts w:asciiTheme="majorBidi" w:hAnsiTheme="majorBidi" w:cstheme="majorBidi"/>
                <w:b/>
                <w:bCs/>
                <w:lang w:val="en-GB"/>
              </w:rPr>
            </w:pPr>
            <w:r w:rsidRPr="00C454BA">
              <w:rPr>
                <w:rFonts w:asciiTheme="majorBidi" w:hAnsiTheme="majorBidi" w:cstheme="majorBidi"/>
                <w:b/>
                <w:bCs/>
                <w:lang w:val="en-GB"/>
              </w:rPr>
              <w:t>User equipment</w:t>
            </w: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0E0A27" w:rsidP="0055215A">
            <w:pPr>
              <w:pStyle w:val="Tabletext"/>
              <w:keepNext/>
              <w:keepLines/>
              <w:rPr>
                <w:rFonts w:asciiTheme="majorBidi" w:hAnsiTheme="majorBidi" w:cstheme="majorBidi"/>
                <w:lang w:val="en-GB"/>
              </w:rPr>
            </w:pPr>
            <w:r w:rsidRPr="00C454BA">
              <w:rPr>
                <w:rFonts w:asciiTheme="majorBidi" w:hAnsiTheme="majorBidi" w:cstheme="majorBidi"/>
                <w:lang w:val="en-GB"/>
              </w:rPr>
              <w:t>Antenna</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Height</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Frequency range</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Peak gain</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r>
      <w:tr w:rsidR="000E0A27" w:rsidRPr="00C454BA" w:rsidTr="00E843E0">
        <w:trPr>
          <w:jc w:val="center"/>
        </w:trPr>
        <w:tc>
          <w:tcPr>
            <w:tcW w:w="2381" w:type="dxa"/>
            <w:tcBorders>
              <w:top w:val="nil"/>
              <w:bottom w:val="single" w:sz="4" w:space="0" w:color="auto"/>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Gain pattern</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r>
      <w:tr w:rsidR="000E0A27" w:rsidRPr="00C454BA" w:rsidTr="00E843E0">
        <w:trPr>
          <w:jc w:val="center"/>
        </w:trPr>
        <w:tc>
          <w:tcPr>
            <w:tcW w:w="2381" w:type="dxa"/>
            <w:tcBorders>
              <w:top w:val="single" w:sz="4" w:space="0" w:color="auto"/>
              <w:bottom w:val="nil"/>
            </w:tcBorders>
          </w:tcPr>
          <w:p w:rsidR="000E0A27" w:rsidRPr="00C454BA" w:rsidRDefault="000E0A27" w:rsidP="0055215A">
            <w:pPr>
              <w:pStyle w:val="Tabletext"/>
              <w:keepNext/>
              <w:keepLines/>
              <w:tabs>
                <w:tab w:val="left" w:pos="142"/>
              </w:tabs>
              <w:rPr>
                <w:rFonts w:asciiTheme="majorBidi" w:hAnsiTheme="majorBidi" w:cstheme="majorBidi"/>
                <w:b/>
                <w:bCs/>
                <w:lang w:val="en-GB"/>
              </w:rPr>
            </w:pPr>
            <w:r w:rsidRPr="00C454BA">
              <w:rPr>
                <w:rFonts w:asciiTheme="majorBidi" w:hAnsiTheme="majorBidi" w:cstheme="majorBidi"/>
                <w:b/>
                <w:bCs/>
                <w:lang w:val="en-GB"/>
              </w:rPr>
              <w:t>Transmitter</w:t>
            </w: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Maximum power</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Minimum power</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Signal bandwidth</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Channel spacing</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Feeder loss</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Power control</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Pr="00C454BA">
              <w:rPr>
                <w:rFonts w:asciiTheme="majorBidi" w:hAnsiTheme="majorBidi" w:cstheme="majorBidi"/>
                <w:lang w:val="en-GB"/>
              </w:rPr>
              <w:tab/>
            </w:r>
            <w:r w:rsidR="000E0A27" w:rsidRPr="00C454BA">
              <w:rPr>
                <w:rFonts w:asciiTheme="majorBidi" w:hAnsiTheme="majorBidi" w:cstheme="majorBidi"/>
                <w:lang w:val="en-GB"/>
              </w:rPr>
              <w:t>Handover margin</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ind w:left="284" w:hanging="284"/>
              <w:jc w:val="left"/>
              <w:rPr>
                <w:rFonts w:asciiTheme="majorBidi" w:hAnsiTheme="majorBidi" w:cstheme="majorBidi"/>
                <w:lang w:val="en-GB"/>
              </w:rPr>
            </w:pPr>
            <w:r w:rsidRPr="00C454BA">
              <w:rPr>
                <w:rFonts w:asciiTheme="majorBidi" w:hAnsiTheme="majorBidi" w:cstheme="majorBidi"/>
                <w:lang w:val="en-GB"/>
              </w:rPr>
              <w:tab/>
            </w:r>
            <w:r w:rsidRPr="00C454BA">
              <w:rPr>
                <w:rFonts w:asciiTheme="majorBidi" w:hAnsiTheme="majorBidi" w:cstheme="majorBidi"/>
                <w:lang w:val="en-GB"/>
              </w:rPr>
              <w:tab/>
            </w:r>
            <w:r w:rsidR="000E0A27" w:rsidRPr="00C454BA">
              <w:rPr>
                <w:rFonts w:asciiTheme="majorBidi" w:hAnsiTheme="majorBidi" w:cstheme="majorBidi"/>
                <w:lang w:val="en-GB"/>
              </w:rPr>
              <w:t>Balancing factor (gamma)</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ind w:left="284" w:hanging="284"/>
              <w:jc w:val="left"/>
              <w:rPr>
                <w:rFonts w:asciiTheme="majorBidi" w:hAnsiTheme="majorBidi" w:cstheme="majorBidi"/>
                <w:lang w:val="en-GB"/>
              </w:rPr>
            </w:pPr>
            <w:r w:rsidRPr="00C454BA">
              <w:rPr>
                <w:rFonts w:asciiTheme="majorBidi" w:hAnsiTheme="majorBidi" w:cstheme="majorBidi"/>
                <w:lang w:val="en-GB"/>
              </w:rPr>
              <w:tab/>
            </w:r>
            <w:r w:rsidRPr="00C454BA">
              <w:rPr>
                <w:rFonts w:asciiTheme="majorBidi" w:hAnsiTheme="majorBidi" w:cstheme="majorBidi"/>
                <w:lang w:val="en-GB"/>
              </w:rPr>
              <w:tab/>
            </w:r>
            <w:r w:rsidR="000E0A27" w:rsidRPr="00C454BA">
              <w:rPr>
                <w:rFonts w:asciiTheme="majorBidi" w:hAnsiTheme="majorBidi" w:cstheme="majorBidi"/>
                <w:lang w:val="en-GB"/>
              </w:rPr>
              <w:t>Percent at maximum power</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r>
      <w:tr w:rsidR="000E0A27" w:rsidRPr="00C454BA" w:rsidTr="00E843E0">
        <w:trPr>
          <w:jc w:val="center"/>
        </w:trPr>
        <w:tc>
          <w:tcPr>
            <w:tcW w:w="2381" w:type="dxa"/>
            <w:tcBorders>
              <w:top w:val="nil"/>
              <w:bottom w:val="nil"/>
            </w:tcBorders>
          </w:tcPr>
          <w:p w:rsidR="000E0A27" w:rsidRPr="00C454BA" w:rsidRDefault="000E0A27"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ACLR</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1st adjacent</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2nd adjacent</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r>
      <w:tr w:rsidR="000E0A27" w:rsidRPr="00C454BA" w:rsidTr="00E843E0">
        <w:trPr>
          <w:jc w:val="center"/>
        </w:trPr>
        <w:tc>
          <w:tcPr>
            <w:tcW w:w="2381" w:type="dxa"/>
            <w:tcBorders>
              <w:top w:val="nil"/>
            </w:tcBorders>
          </w:tcPr>
          <w:p w:rsidR="000E0A27" w:rsidRPr="00C454BA" w:rsidRDefault="00E843E0"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Spurious</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r>
    </w:tbl>
    <w:p w:rsidR="0055215A" w:rsidRPr="00C454BA" w:rsidRDefault="0055215A" w:rsidP="0055215A">
      <w:pPr>
        <w:pStyle w:val="Tablefin"/>
      </w:pPr>
    </w:p>
    <w:p w:rsidR="000E0A27" w:rsidRPr="00C454BA" w:rsidRDefault="0055215A" w:rsidP="000E0A27">
      <w:pPr>
        <w:pStyle w:val="TableNo"/>
        <w:rPr>
          <w:lang w:val="en-GB"/>
        </w:rPr>
      </w:pPr>
      <w:r w:rsidRPr="00C454BA">
        <w:rPr>
          <w:lang w:val="en-GB"/>
        </w:rPr>
        <w:lastRenderedPageBreak/>
        <w:t xml:space="preserve">TABLE </w:t>
      </w:r>
      <w:r w:rsidR="000E0A27" w:rsidRPr="00C454BA">
        <w:rPr>
          <w:lang w:val="en-GB"/>
        </w:rPr>
        <w:t>3</w:t>
      </w:r>
    </w:p>
    <w:p w:rsidR="000E0A27" w:rsidRPr="00C454BA" w:rsidRDefault="000E0A27" w:rsidP="000E0A27">
      <w:pPr>
        <w:pStyle w:val="Tabletitle"/>
        <w:rPr>
          <w:lang w:val="en-GB"/>
        </w:rPr>
      </w:pPr>
      <w:r w:rsidRPr="00C454BA">
        <w:rPr>
          <w:lang w:val="en-GB"/>
        </w:rPr>
        <w:t>Fixed service station characteristics</w:t>
      </w:r>
    </w:p>
    <w:tbl>
      <w:tblPr>
        <w:tblW w:w="0" w:type="auto"/>
        <w:tblInd w:w="2122" w:type="dxa"/>
        <w:tblLook w:val="04A0" w:firstRow="1" w:lastRow="0" w:firstColumn="1" w:lastColumn="0" w:noHBand="0" w:noVBand="1"/>
      </w:tblPr>
      <w:tblGrid>
        <w:gridCol w:w="3402"/>
        <w:gridCol w:w="1984"/>
      </w:tblGrid>
      <w:tr w:rsidR="00F051B0" w:rsidRPr="00C454BA" w:rsidTr="008B7CA0">
        <w:tc>
          <w:tcPr>
            <w:tcW w:w="3402" w:type="dxa"/>
            <w:tcBorders>
              <w:top w:val="single" w:sz="4" w:space="0" w:color="auto"/>
              <w:left w:val="single" w:sz="4" w:space="0" w:color="auto"/>
              <w:bottom w:val="single" w:sz="4" w:space="0" w:color="auto"/>
              <w:right w:val="single" w:sz="4" w:space="0" w:color="auto"/>
            </w:tcBorders>
          </w:tcPr>
          <w:p w:rsidR="00F051B0" w:rsidRPr="00C454BA" w:rsidRDefault="00F051B0" w:rsidP="008B7CA0">
            <w:pPr>
              <w:pStyle w:val="Tablehead"/>
              <w:keepLines/>
              <w:rPr>
                <w:lang w:val="en-GB"/>
              </w:rPr>
            </w:pPr>
            <w:r w:rsidRPr="00C454BA">
              <w:rPr>
                <w:lang w:val="en-GB"/>
              </w:rPr>
              <w:t>Parameter</w:t>
            </w:r>
          </w:p>
        </w:tc>
        <w:tc>
          <w:tcPr>
            <w:tcW w:w="1984" w:type="dxa"/>
            <w:tcBorders>
              <w:top w:val="single" w:sz="4" w:space="0" w:color="auto"/>
              <w:left w:val="single" w:sz="4" w:space="0" w:color="auto"/>
              <w:bottom w:val="single" w:sz="4" w:space="0" w:color="auto"/>
              <w:right w:val="single" w:sz="4" w:space="0" w:color="auto"/>
            </w:tcBorders>
          </w:tcPr>
          <w:p w:rsidR="00F051B0" w:rsidRPr="00C454BA" w:rsidRDefault="00F051B0" w:rsidP="008B7CA0">
            <w:pPr>
              <w:pStyle w:val="Tablehead"/>
              <w:keepLines/>
              <w:rPr>
                <w:lang w:val="en-GB"/>
              </w:rPr>
            </w:pPr>
            <w:r w:rsidRPr="00C454BA">
              <w:rPr>
                <w:lang w:val="en-GB"/>
              </w:rPr>
              <w:t>Value</w:t>
            </w:r>
          </w:p>
        </w:tc>
      </w:tr>
      <w:tr w:rsidR="00F051B0" w:rsidRPr="00C454BA" w:rsidTr="008B7CA0">
        <w:tc>
          <w:tcPr>
            <w:tcW w:w="3402" w:type="dxa"/>
            <w:tcBorders>
              <w:top w:val="single" w:sz="4" w:space="0" w:color="auto"/>
              <w:left w:val="single" w:sz="4" w:space="0" w:color="auto"/>
              <w:bottom w:val="nil"/>
              <w:right w:val="single" w:sz="4" w:space="0" w:color="auto"/>
            </w:tcBorders>
          </w:tcPr>
          <w:p w:rsidR="00F051B0" w:rsidRPr="00C454BA" w:rsidRDefault="00F051B0" w:rsidP="008B7CA0">
            <w:pPr>
              <w:pStyle w:val="Tablehead"/>
              <w:keepLines/>
              <w:jc w:val="left"/>
              <w:rPr>
                <w:lang w:val="en-GB"/>
              </w:rPr>
            </w:pPr>
            <w:r w:rsidRPr="00C454BA">
              <w:rPr>
                <w:lang w:val="en-GB"/>
              </w:rPr>
              <w:t>Fixed station</w:t>
            </w:r>
          </w:p>
        </w:tc>
        <w:tc>
          <w:tcPr>
            <w:tcW w:w="1984" w:type="dxa"/>
            <w:tcBorders>
              <w:top w:val="single" w:sz="4" w:space="0" w:color="auto"/>
              <w:left w:val="single" w:sz="4" w:space="0" w:color="auto"/>
              <w:bottom w:val="nil"/>
              <w:right w:val="single" w:sz="4" w:space="0" w:color="auto"/>
            </w:tcBorders>
          </w:tcPr>
          <w:p w:rsidR="00F051B0" w:rsidRPr="00C454BA" w:rsidRDefault="00F051B0" w:rsidP="008B7CA0">
            <w:pPr>
              <w:pStyle w:val="Tablehead"/>
              <w:keepLines/>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Antenna</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Height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30 m</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Peak gain</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27 dBi</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Gain pattern</w:t>
            </w:r>
          </w:p>
        </w:tc>
        <w:tc>
          <w:tcPr>
            <w:tcW w:w="1984" w:type="dxa"/>
            <w:tcBorders>
              <w:top w:val="nil"/>
              <w:left w:val="single" w:sz="4" w:space="0" w:color="auto"/>
              <w:bottom w:val="nil"/>
              <w:right w:val="single" w:sz="4" w:space="0" w:color="auto"/>
            </w:tcBorders>
          </w:tcPr>
          <w:p w:rsidR="00F051B0" w:rsidRPr="00C454BA" w:rsidRDefault="00F051B0" w:rsidP="00F051B0">
            <w:pPr>
              <w:pStyle w:val="Tabletext"/>
              <w:keepNext/>
              <w:keepLines/>
              <w:jc w:val="center"/>
              <w:rPr>
                <w:lang w:val="en-GB"/>
              </w:rPr>
            </w:pPr>
            <w:r w:rsidRPr="00C454BA">
              <w:rPr>
                <w:lang w:val="en-GB"/>
              </w:rPr>
              <w:t>F.1245</w:t>
            </w:r>
          </w:p>
        </w:tc>
      </w:tr>
      <w:tr w:rsidR="00F051B0" w:rsidRPr="00C454BA" w:rsidTr="008B7CA0">
        <w:tc>
          <w:tcPr>
            <w:tcW w:w="3402"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rPr>
                <w:lang w:val="en-GB"/>
              </w:rPr>
            </w:pPr>
            <w:r w:rsidRPr="00C454BA">
              <w:rPr>
                <w:lang w:val="en-GB"/>
              </w:rPr>
              <w:tab/>
              <w:t>Downtilt</w:t>
            </w:r>
          </w:p>
        </w:tc>
        <w:tc>
          <w:tcPr>
            <w:tcW w:w="1984"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jc w:val="center"/>
              <w:rPr>
                <w:lang w:val="en-GB"/>
              </w:rPr>
            </w:pPr>
            <w:r w:rsidRPr="00C454BA">
              <w:rPr>
                <w:lang w:val="en-GB"/>
              </w:rPr>
              <w:t>0 degrees</w:t>
            </w:r>
          </w:p>
        </w:tc>
      </w:tr>
      <w:tr w:rsidR="00F051B0" w:rsidRPr="00C454BA" w:rsidTr="008B7CA0">
        <w:tc>
          <w:tcPr>
            <w:tcW w:w="3402" w:type="dxa"/>
            <w:tcBorders>
              <w:top w:val="single" w:sz="4" w:space="0" w:color="auto"/>
              <w:left w:val="single" w:sz="4" w:space="0" w:color="auto"/>
              <w:bottom w:val="nil"/>
              <w:right w:val="single" w:sz="4" w:space="0" w:color="auto"/>
            </w:tcBorders>
          </w:tcPr>
          <w:p w:rsidR="00F051B0" w:rsidRPr="00C454BA" w:rsidRDefault="00F051B0" w:rsidP="008B7CA0">
            <w:pPr>
              <w:pStyle w:val="Tablehead"/>
              <w:jc w:val="left"/>
              <w:rPr>
                <w:lang w:val="en-GB"/>
              </w:rPr>
            </w:pPr>
            <w:r w:rsidRPr="00C454BA">
              <w:rPr>
                <w:lang w:val="en-GB"/>
              </w:rPr>
              <w:t>Receiver</w:t>
            </w:r>
          </w:p>
        </w:tc>
        <w:tc>
          <w:tcPr>
            <w:tcW w:w="1984" w:type="dxa"/>
            <w:tcBorders>
              <w:top w:val="single" w:sz="4" w:space="0" w:color="auto"/>
              <w:left w:val="single" w:sz="4" w:space="0" w:color="auto"/>
              <w:bottom w:val="nil"/>
              <w:right w:val="single" w:sz="4" w:space="0" w:color="auto"/>
            </w:tcBorders>
          </w:tcPr>
          <w:p w:rsidR="00F051B0" w:rsidRPr="00C454BA" w:rsidRDefault="00F051B0" w:rsidP="008B7CA0">
            <w:pPr>
              <w:pStyle w:val="Tablehead"/>
              <w:jc w:val="left"/>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Signal bandwidth</w:t>
            </w:r>
          </w:p>
        </w:tc>
        <w:tc>
          <w:tcPr>
            <w:tcW w:w="1984" w:type="dxa"/>
            <w:tcBorders>
              <w:top w:val="nil"/>
              <w:left w:val="single" w:sz="4" w:space="0" w:color="auto"/>
              <w:bottom w:val="nil"/>
              <w:right w:val="single" w:sz="4" w:space="0" w:color="auto"/>
            </w:tcBorders>
          </w:tcPr>
          <w:p w:rsidR="00F051B0" w:rsidRPr="00C454BA" w:rsidRDefault="00F051B0" w:rsidP="00F051B0">
            <w:pPr>
              <w:pStyle w:val="Tabletext"/>
              <w:keepNext/>
              <w:keepLines/>
              <w:jc w:val="center"/>
              <w:rPr>
                <w:lang w:val="en-GB"/>
              </w:rPr>
            </w:pPr>
            <w:r w:rsidRPr="00C454BA">
              <w:rPr>
                <w:lang w:val="en-GB"/>
              </w:rPr>
              <w:t>8.0 MHz</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Channel spacing</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8.0 MHz</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Feeder loss</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0.2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Noise figure</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2.5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i/>
                <w:iCs/>
                <w:lang w:val="en-GB"/>
              </w:rPr>
              <w:tab/>
              <w:t>I/N</w:t>
            </w:r>
            <w:r w:rsidRPr="00C454BA">
              <w:rPr>
                <w:lang w:val="en-GB"/>
              </w:rPr>
              <w:t xml:space="preserve"> requirement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–10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ACS</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r>
            <w:r w:rsidRPr="00C454BA">
              <w:rPr>
                <w:lang w:val="en-GB"/>
              </w:rPr>
              <w:tab/>
              <w:t>1st adjacent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45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r>
            <w:r w:rsidRPr="00C454BA">
              <w:rPr>
                <w:lang w:val="en-GB"/>
              </w:rPr>
              <w:tab/>
              <w:t>2nd adjacent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50 dB</w:t>
            </w:r>
          </w:p>
        </w:tc>
      </w:tr>
      <w:tr w:rsidR="00F051B0" w:rsidRPr="00C454BA" w:rsidTr="008B7CA0">
        <w:tc>
          <w:tcPr>
            <w:tcW w:w="3402"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rPr>
                <w:lang w:val="en-GB"/>
              </w:rPr>
            </w:pPr>
            <w:r w:rsidRPr="00C454BA">
              <w:rPr>
                <w:lang w:val="en-GB"/>
              </w:rPr>
              <w:tab/>
            </w:r>
            <w:r w:rsidRPr="00C454BA">
              <w:rPr>
                <w:lang w:val="en-GB"/>
              </w:rPr>
              <w:tab/>
              <w:t>&gt; 2nd adjacent</w:t>
            </w:r>
          </w:p>
        </w:tc>
        <w:tc>
          <w:tcPr>
            <w:tcW w:w="1984"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jc w:val="center"/>
              <w:rPr>
                <w:lang w:val="en-GB"/>
              </w:rPr>
            </w:pPr>
            <w:r w:rsidRPr="00C454BA">
              <w:rPr>
                <w:lang w:val="en-GB"/>
              </w:rPr>
              <w:t>55 dB</w:t>
            </w:r>
          </w:p>
        </w:tc>
      </w:tr>
    </w:tbl>
    <w:p w:rsidR="000E0A27" w:rsidRPr="00C454BA" w:rsidRDefault="000E0A27" w:rsidP="005B2BDD">
      <w:pPr>
        <w:pStyle w:val="Normalaftertitle0"/>
      </w:pPr>
      <w:r w:rsidRPr="00C454BA">
        <w:t>Propagation loss is based upon Recommendation ITU-R P.452-14. This Recommendation has been used in past studies in the 3 400-4 200 MHz frequency range. The analysis takes a conservative approach by assuming a smooth Earth terrain profile, which may overestimate interference to FS systems in environments other than flat plain regions. Other ITU-R propagation models utilized in the IMT-Advanced evaluation process (i.e. Report ITU-R M.2135) may provide a more realistic match to measured data. The propagation characteristics used in this analysis are shown in Table 4.</w:t>
      </w:r>
    </w:p>
    <w:p w:rsidR="000E0A27" w:rsidRPr="00C454BA" w:rsidRDefault="0055215A" w:rsidP="000E0A27">
      <w:pPr>
        <w:pStyle w:val="TableNo"/>
        <w:rPr>
          <w:lang w:val="en-GB"/>
        </w:rPr>
      </w:pPr>
      <w:r w:rsidRPr="00C454BA">
        <w:rPr>
          <w:lang w:val="en-GB"/>
        </w:rPr>
        <w:lastRenderedPageBreak/>
        <w:t xml:space="preserve">TABLE </w:t>
      </w:r>
      <w:r w:rsidR="000E0A27" w:rsidRPr="00C454BA">
        <w:rPr>
          <w:lang w:val="en-GB"/>
        </w:rPr>
        <w:t>4</w:t>
      </w:r>
    </w:p>
    <w:p w:rsidR="000E0A27" w:rsidRPr="00C454BA" w:rsidRDefault="000E0A27" w:rsidP="000E0A27">
      <w:pPr>
        <w:pStyle w:val="Tabletitle"/>
        <w:rPr>
          <w:lang w:val="en-GB"/>
        </w:rPr>
      </w:pPr>
      <w:r w:rsidRPr="00C454BA">
        <w:rPr>
          <w:lang w:val="en-GB"/>
        </w:rPr>
        <w:t>Propagation Characteristics</w:t>
      </w:r>
    </w:p>
    <w:tbl>
      <w:tblPr>
        <w:tblStyle w:val="TableGrid"/>
        <w:tblW w:w="0" w:type="auto"/>
        <w:jc w:val="center"/>
        <w:tblLayout w:type="fixed"/>
        <w:tblLook w:val="04A0" w:firstRow="1" w:lastRow="0" w:firstColumn="1" w:lastColumn="0" w:noHBand="0" w:noVBand="1"/>
      </w:tblPr>
      <w:tblGrid>
        <w:gridCol w:w="3288"/>
        <w:gridCol w:w="1587"/>
        <w:gridCol w:w="1587"/>
        <w:gridCol w:w="1587"/>
        <w:gridCol w:w="1587"/>
      </w:tblGrid>
      <w:tr w:rsidR="000E0A27" w:rsidRPr="00C454BA" w:rsidTr="0055215A">
        <w:trPr>
          <w:jc w:val="center"/>
        </w:trPr>
        <w:tc>
          <w:tcPr>
            <w:tcW w:w="3288"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Parameter</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Macro Suburban</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Macro Urban</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Small Cell Outdoor</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Small Cell Indoor</w:t>
            </w:r>
          </w:p>
        </w:tc>
      </w:tr>
      <w:tr w:rsidR="000E0A27" w:rsidRPr="00C454BA" w:rsidTr="0055215A">
        <w:trPr>
          <w:jc w:val="center"/>
        </w:trPr>
        <w:tc>
          <w:tcPr>
            <w:tcW w:w="3288" w:type="dxa"/>
            <w:tcBorders>
              <w:bottom w:val="nil"/>
              <w:right w:val="single" w:sz="4" w:space="0" w:color="auto"/>
            </w:tcBorders>
          </w:tcPr>
          <w:p w:rsidR="000E0A27" w:rsidRPr="00C454BA" w:rsidRDefault="000E0A27" w:rsidP="000B41E4">
            <w:pPr>
              <w:pStyle w:val="Tabletext"/>
              <w:keepNext/>
              <w:keepLines/>
              <w:jc w:val="left"/>
              <w:rPr>
                <w:rFonts w:asciiTheme="majorBidi" w:hAnsiTheme="majorBidi" w:cstheme="majorBidi"/>
                <w:b/>
                <w:lang w:val="en-GB"/>
              </w:rPr>
            </w:pPr>
            <w:r w:rsidRPr="00C454BA">
              <w:rPr>
                <w:rFonts w:asciiTheme="majorBidi" w:hAnsiTheme="majorBidi" w:cstheme="majorBidi"/>
                <w:b/>
                <w:lang w:val="en-GB"/>
              </w:rPr>
              <w:t>Propagation</w:t>
            </w:r>
          </w:p>
        </w:tc>
        <w:tc>
          <w:tcPr>
            <w:tcW w:w="1587" w:type="dxa"/>
            <w:tcBorders>
              <w:left w:val="single" w:sz="4" w:space="0" w:color="auto"/>
              <w:bottom w:val="nil"/>
              <w:right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left w:val="single" w:sz="4" w:space="0" w:color="auto"/>
              <w:bottom w:val="nil"/>
              <w:right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left w:val="single" w:sz="4" w:space="0" w:color="auto"/>
              <w:bottom w:val="nil"/>
              <w:right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left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r>
      <w:tr w:rsidR="000E0A27" w:rsidRPr="00C454BA" w:rsidTr="0055215A">
        <w:trPr>
          <w:jc w:val="center"/>
        </w:trPr>
        <w:tc>
          <w:tcPr>
            <w:tcW w:w="3288" w:type="dxa"/>
            <w:tcBorders>
              <w:top w:val="nil"/>
              <w:bottom w:val="nil"/>
            </w:tcBorders>
          </w:tcPr>
          <w:p w:rsidR="000E0A27" w:rsidRPr="00C454BA" w:rsidRDefault="000E0A27" w:rsidP="000B41E4">
            <w:pPr>
              <w:pStyle w:val="Tabletext"/>
              <w:keepNext/>
              <w:keepLines/>
              <w:jc w:val="left"/>
              <w:rPr>
                <w:rFonts w:asciiTheme="majorBidi" w:hAnsiTheme="majorBidi" w:cstheme="majorBidi"/>
                <w:lang w:val="en-GB"/>
              </w:rPr>
            </w:pPr>
            <w:r w:rsidRPr="00C454BA">
              <w:rPr>
                <w:rFonts w:asciiTheme="majorBidi" w:hAnsiTheme="majorBidi" w:cstheme="majorBidi"/>
                <w:lang w:val="en-GB"/>
              </w:rPr>
              <w:t>Model</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Percentage of time basic loss is not exceeded</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Average radio-refractive index lapse rate</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Sea-level surface refractivity</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Path center latitude</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Clutter height</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9 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 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9 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9 m</w:t>
            </w:r>
          </w:p>
        </w:tc>
      </w:tr>
      <w:tr w:rsidR="000E0A27" w:rsidRPr="00C454BA" w:rsidTr="0055215A">
        <w:trPr>
          <w:jc w:val="center"/>
        </w:trPr>
        <w:tc>
          <w:tcPr>
            <w:tcW w:w="3288" w:type="dxa"/>
            <w:tcBorders>
              <w:top w:val="nil"/>
              <w:bottom w:val="single" w:sz="4" w:space="0" w:color="auto"/>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Clutter distance</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0.025 km</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 km</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0.025 km</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0.025 km</w:t>
            </w:r>
          </w:p>
        </w:tc>
      </w:tr>
      <w:tr w:rsidR="000E0A27" w:rsidRPr="00C454BA" w:rsidTr="0055215A">
        <w:trPr>
          <w:jc w:val="center"/>
        </w:trPr>
        <w:tc>
          <w:tcPr>
            <w:tcW w:w="3288" w:type="dxa"/>
            <w:tcBorders>
              <w:top w:val="single" w:sz="4" w:space="0" w:color="auto"/>
              <w:bottom w:val="nil"/>
            </w:tcBorders>
          </w:tcPr>
          <w:p w:rsidR="000E0A27" w:rsidRPr="00C454BA" w:rsidRDefault="000E0A27" w:rsidP="000B41E4">
            <w:pPr>
              <w:pStyle w:val="Tabletext"/>
              <w:keepNext/>
              <w:keepLines/>
              <w:jc w:val="left"/>
              <w:rPr>
                <w:rFonts w:asciiTheme="majorBidi" w:hAnsiTheme="majorBidi" w:cstheme="majorBidi"/>
                <w:b/>
                <w:lang w:val="en-GB"/>
              </w:rPr>
            </w:pPr>
            <w:r w:rsidRPr="00C454BA">
              <w:rPr>
                <w:rFonts w:asciiTheme="majorBidi" w:hAnsiTheme="majorBidi" w:cstheme="majorBidi"/>
                <w:b/>
                <w:lang w:val="en-GB"/>
              </w:rPr>
              <w:t>Polarization discrimination</w:t>
            </w: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r>
      <w:tr w:rsidR="000E0A27" w:rsidRPr="00C454BA" w:rsidTr="0055215A">
        <w:trPr>
          <w:jc w:val="center"/>
        </w:trPr>
        <w:tc>
          <w:tcPr>
            <w:tcW w:w="3288" w:type="dxa"/>
            <w:tcBorders>
              <w:top w:val="nil"/>
              <w:bottom w:val="nil"/>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IMT base station</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r>
      <w:tr w:rsidR="000E0A27" w:rsidRPr="00C454BA" w:rsidTr="0055215A">
        <w:trPr>
          <w:jc w:val="center"/>
        </w:trPr>
        <w:tc>
          <w:tcPr>
            <w:tcW w:w="3288" w:type="dxa"/>
            <w:tcBorders>
              <w:top w:val="nil"/>
              <w:bottom w:val="single" w:sz="4" w:space="0" w:color="auto"/>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IMT use equipment</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r>
      <w:tr w:rsidR="000E0A27" w:rsidRPr="00C454BA" w:rsidTr="0055215A">
        <w:trPr>
          <w:jc w:val="center"/>
        </w:trPr>
        <w:tc>
          <w:tcPr>
            <w:tcW w:w="3288" w:type="dxa"/>
            <w:tcBorders>
              <w:top w:val="single" w:sz="4" w:space="0" w:color="auto"/>
              <w:bottom w:val="nil"/>
            </w:tcBorders>
          </w:tcPr>
          <w:p w:rsidR="000E0A27" w:rsidRPr="00C454BA" w:rsidRDefault="000E0A27" w:rsidP="0055215A">
            <w:pPr>
              <w:pStyle w:val="Tabletext"/>
              <w:jc w:val="left"/>
              <w:rPr>
                <w:rFonts w:asciiTheme="majorBidi" w:hAnsiTheme="majorBidi" w:cstheme="majorBidi"/>
                <w:b/>
                <w:lang w:val="en-GB"/>
              </w:rPr>
            </w:pPr>
            <w:r w:rsidRPr="00C454BA">
              <w:rPr>
                <w:rFonts w:asciiTheme="majorBidi" w:hAnsiTheme="majorBidi" w:cstheme="majorBidi"/>
                <w:b/>
                <w:lang w:val="en-GB"/>
              </w:rPr>
              <w:t>Other propagation effects</w:t>
            </w: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r>
      <w:tr w:rsidR="000E0A27" w:rsidRPr="00C454BA" w:rsidTr="0055215A">
        <w:trPr>
          <w:jc w:val="center"/>
        </w:trPr>
        <w:tc>
          <w:tcPr>
            <w:tcW w:w="3288" w:type="dxa"/>
            <w:tcBorders>
              <w:top w:val="nil"/>
              <w:bottom w:val="nil"/>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Building penetration loss (indoor stations only</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r>
      <w:tr w:rsidR="000E0A27" w:rsidRPr="00C454BA" w:rsidTr="0055215A">
        <w:trPr>
          <w:jc w:val="center"/>
        </w:trPr>
        <w:tc>
          <w:tcPr>
            <w:tcW w:w="3288" w:type="dxa"/>
            <w:tcBorders>
              <w:top w:val="nil"/>
              <w:bottom w:val="single" w:sz="4" w:space="0" w:color="auto"/>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IMT mobile station body loss</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r>
    </w:tbl>
    <w:p w:rsidR="000E0A27" w:rsidRPr="00C454BA" w:rsidRDefault="000E0A27" w:rsidP="000E0A27">
      <w:pPr>
        <w:pStyle w:val="Headingb"/>
        <w:rPr>
          <w:lang w:val="en-GB"/>
        </w:rPr>
      </w:pPr>
      <w:r w:rsidRPr="00C454BA">
        <w:rPr>
          <w:lang w:val="en-GB"/>
        </w:rPr>
        <w:t>Results of interference calculations</w:t>
      </w:r>
    </w:p>
    <w:p w:rsidR="000E0A27" w:rsidRPr="00C454BA" w:rsidRDefault="000E0A27" w:rsidP="000E0A27">
      <w:pPr>
        <w:pStyle w:val="Headingi"/>
        <w:rPr>
          <w:lang w:val="en-GB"/>
        </w:rPr>
      </w:pPr>
      <w:r w:rsidRPr="00C454BA">
        <w:rPr>
          <w:lang w:val="en-GB"/>
        </w:rPr>
        <w:t>Co-channel</w:t>
      </w:r>
    </w:p>
    <w:p w:rsidR="000E0A27" w:rsidRPr="00C454BA" w:rsidRDefault="000E0A27" w:rsidP="000E0A27">
      <w:pPr>
        <w:rPr>
          <w:szCs w:val="24"/>
          <w:lang w:val="en-GB"/>
        </w:rPr>
      </w:pPr>
      <w:r w:rsidRPr="00C454BA">
        <w:rPr>
          <w:szCs w:val="24"/>
          <w:lang w:val="en-GB"/>
        </w:rPr>
        <w:t>The interference from a single IMT base station or UE pointing in azimuth toward the FS receive station is computed over a range of azimuths and distances.  From this data, a contour is drawn at the locations around the FS receive station that meet interference protection requirement.</w:t>
      </w:r>
    </w:p>
    <w:p w:rsidR="000E0A27" w:rsidRPr="00C454BA" w:rsidRDefault="000E0A27" w:rsidP="000E0A27">
      <w:pPr>
        <w:pStyle w:val="FigureNo"/>
        <w:rPr>
          <w:lang w:val="en-GB"/>
        </w:rPr>
      </w:pPr>
      <w:r w:rsidRPr="00C454BA">
        <w:rPr>
          <w:lang w:val="en-GB"/>
        </w:rPr>
        <w:lastRenderedPageBreak/>
        <w:t>Figure 3</w:t>
      </w:r>
    </w:p>
    <w:p w:rsidR="000E0A27" w:rsidRPr="00C454BA" w:rsidRDefault="000E0A27" w:rsidP="008A7FE5">
      <w:pPr>
        <w:pStyle w:val="Figuretitle"/>
        <w:rPr>
          <w:rFonts w:ascii="Times New Roman" w:hAnsi="Times New Roman"/>
          <w:sz w:val="24"/>
          <w:szCs w:val="24"/>
          <w:lang w:val="en-GB"/>
        </w:rPr>
      </w:pPr>
      <w:r w:rsidRPr="00C454BA">
        <w:rPr>
          <w:lang w:val="en-GB"/>
        </w:rPr>
        <w:t>Separation Distance</w:t>
      </w:r>
      <w:r w:rsidR="008A7FE5" w:rsidRPr="00C454BA">
        <w:rPr>
          <w:lang w:val="en-GB"/>
        </w:rPr>
        <w:t> –</w:t>
      </w:r>
      <w:r w:rsidRPr="00C454BA">
        <w:rPr>
          <w:lang w:val="en-GB"/>
        </w:rPr>
        <w:t xml:space="preserve"> IMT base station into FS receive station</w:t>
      </w:r>
    </w:p>
    <w:p w:rsidR="000E0A27" w:rsidRPr="00C454BA" w:rsidRDefault="00BE3828" w:rsidP="00A7712D">
      <w:pPr>
        <w:pStyle w:val="Figure"/>
        <w:rPr>
          <w:szCs w:val="24"/>
          <w:lang w:val="en-GB"/>
        </w:rPr>
      </w:pPr>
      <w:r>
        <w:object w:dxaOrig="6291" w:dyaOrig="3687">
          <v:shape id="_x0000_i1033" type="#_x0000_t75" style="width:411.9pt;height:240.8pt;mso-position-vertical:absolute" o:ole="">
            <v:imagedata r:id="rId28" o:title=""/>
          </v:shape>
          <o:OLEObject Type="Embed" ProgID="CorelDraw.Graphic.16" ShapeID="_x0000_i1033" DrawAspect="Content" ObjectID="_1489930794" r:id="rId29"/>
        </w:object>
      </w:r>
    </w:p>
    <w:p w:rsidR="000E0A27" w:rsidRPr="00C454BA" w:rsidRDefault="000E0A27" w:rsidP="000E0A27">
      <w:pPr>
        <w:rPr>
          <w:szCs w:val="24"/>
          <w:lang w:val="en-GB"/>
        </w:rPr>
      </w:pPr>
      <w:r w:rsidRPr="00C454BA">
        <w:rPr>
          <w:szCs w:val="24"/>
          <w:lang w:val="en-GB"/>
        </w:rPr>
        <w:t>Applying this methodology to the interference scenarios and deployment environments shown in the tables above gives the following results:</w:t>
      </w:r>
    </w:p>
    <w:p w:rsidR="000E0A27" w:rsidRPr="00C454BA" w:rsidRDefault="00A350D7" w:rsidP="000E0A27">
      <w:pPr>
        <w:pStyle w:val="TableNo"/>
        <w:rPr>
          <w:lang w:val="en-GB"/>
        </w:rPr>
      </w:pPr>
      <w:r w:rsidRPr="00C454BA">
        <w:rPr>
          <w:lang w:val="en-GB"/>
        </w:rPr>
        <w:t xml:space="preserve">TABLE </w:t>
      </w:r>
      <w:r w:rsidR="000E0A27" w:rsidRPr="00C454BA">
        <w:rPr>
          <w:lang w:val="en-GB"/>
        </w:rPr>
        <w:t>5</w:t>
      </w:r>
    </w:p>
    <w:p w:rsidR="000E0A27" w:rsidRPr="00C454BA" w:rsidRDefault="000E0A27" w:rsidP="000E0A27">
      <w:pPr>
        <w:pStyle w:val="Tabletitle"/>
        <w:rPr>
          <w:lang w:val="en-GB"/>
        </w:rPr>
      </w:pPr>
      <w:r w:rsidRPr="00C454BA">
        <w:rPr>
          <w:lang w:val="en-GB"/>
        </w:rPr>
        <w:t>Co-channel separation distance</w:t>
      </w:r>
    </w:p>
    <w:tbl>
      <w:tblPr>
        <w:tblStyle w:val="TableGrid"/>
        <w:tblW w:w="0" w:type="auto"/>
        <w:jc w:val="center"/>
        <w:tblLook w:val="04A0" w:firstRow="1" w:lastRow="0" w:firstColumn="1" w:lastColumn="0" w:noHBand="0" w:noVBand="1"/>
      </w:tblPr>
      <w:tblGrid>
        <w:gridCol w:w="3402"/>
        <w:gridCol w:w="2551"/>
        <w:gridCol w:w="2551"/>
      </w:tblGrid>
      <w:tr w:rsidR="000E0A27" w:rsidRPr="00C454BA" w:rsidTr="00FB16E3">
        <w:trPr>
          <w:jc w:val="center"/>
        </w:trPr>
        <w:tc>
          <w:tcPr>
            <w:tcW w:w="3402" w:type="dxa"/>
          </w:tcPr>
          <w:p w:rsidR="000E0A27" w:rsidRPr="00C454BA" w:rsidRDefault="000E0A27" w:rsidP="00FB16E3">
            <w:pPr>
              <w:pStyle w:val="Tablehead"/>
              <w:jc w:val="left"/>
              <w:rPr>
                <w:rFonts w:asciiTheme="majorBidi" w:hAnsiTheme="majorBidi" w:cstheme="majorBidi"/>
                <w:lang w:val="en-GB"/>
              </w:rPr>
            </w:pPr>
            <w:r w:rsidRPr="00C454BA">
              <w:rPr>
                <w:rFonts w:asciiTheme="majorBidi" w:hAnsiTheme="majorBidi" w:cstheme="majorBidi"/>
                <w:lang w:val="en-GB"/>
              </w:rPr>
              <w:t>Scenario</w:t>
            </w:r>
          </w:p>
        </w:tc>
        <w:tc>
          <w:tcPr>
            <w:tcW w:w="2551" w:type="dxa"/>
            <w:tcBorders>
              <w:bottom w:val="single" w:sz="4" w:space="0" w:color="auto"/>
            </w:tcBorders>
          </w:tcPr>
          <w:p w:rsidR="000E0A27" w:rsidRPr="00C454BA" w:rsidRDefault="000E0A27" w:rsidP="00FB16E3">
            <w:pPr>
              <w:pStyle w:val="Tablehead"/>
              <w:rPr>
                <w:rFonts w:asciiTheme="majorBidi" w:hAnsiTheme="majorBidi" w:cstheme="majorBidi"/>
                <w:lang w:val="en-GB"/>
              </w:rPr>
            </w:pPr>
            <w:r w:rsidRPr="00C454BA">
              <w:rPr>
                <w:rFonts w:asciiTheme="majorBidi" w:hAnsiTheme="majorBidi" w:cstheme="majorBidi"/>
                <w:lang w:val="en-GB"/>
              </w:rPr>
              <w:t>Environment</w:t>
            </w:r>
          </w:p>
        </w:tc>
        <w:tc>
          <w:tcPr>
            <w:tcW w:w="2551" w:type="dxa"/>
            <w:tcBorders>
              <w:bottom w:val="single" w:sz="4" w:space="0" w:color="auto"/>
            </w:tcBorders>
          </w:tcPr>
          <w:p w:rsidR="000E0A27" w:rsidRPr="00C454BA" w:rsidRDefault="000E0A27" w:rsidP="00FB16E3">
            <w:pPr>
              <w:pStyle w:val="Tablehead"/>
              <w:rPr>
                <w:rFonts w:asciiTheme="majorBidi" w:hAnsiTheme="majorBidi" w:cstheme="majorBidi"/>
                <w:lang w:val="en-GB"/>
              </w:rPr>
            </w:pPr>
            <w:r w:rsidRPr="00C454BA">
              <w:rPr>
                <w:rFonts w:asciiTheme="majorBidi" w:hAnsiTheme="majorBidi" w:cstheme="majorBidi"/>
                <w:lang w:val="en-GB"/>
              </w:rPr>
              <w:t>Separation distance</w:t>
            </w:r>
          </w:p>
        </w:tc>
      </w:tr>
      <w:tr w:rsidR="0042161C" w:rsidRPr="00C454BA" w:rsidTr="0042161C">
        <w:trPr>
          <w:jc w:val="center"/>
        </w:trPr>
        <w:tc>
          <w:tcPr>
            <w:tcW w:w="3402" w:type="dxa"/>
            <w:vMerge w:val="restart"/>
            <w:vAlign w:val="center"/>
          </w:tcPr>
          <w:p w:rsidR="0042161C" w:rsidRPr="00C454BA" w:rsidRDefault="0042161C" w:rsidP="0042161C">
            <w:pPr>
              <w:pStyle w:val="Tabletext"/>
              <w:jc w:val="left"/>
              <w:rPr>
                <w:rFonts w:asciiTheme="majorBidi" w:hAnsiTheme="majorBidi" w:cstheme="majorBidi"/>
                <w:lang w:val="en-GB"/>
              </w:rPr>
            </w:pPr>
            <w:r w:rsidRPr="00C454BA">
              <w:rPr>
                <w:rFonts w:asciiTheme="majorBidi" w:hAnsiTheme="majorBidi" w:cstheme="majorBidi"/>
                <w:color w:val="000000"/>
                <w:lang w:val="en-GB"/>
              </w:rPr>
              <w:t>IMT base station into FS receive station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Suburban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50.4-92.0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Urban</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41.7-81.0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Small Cell Outdoor</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13.4-45.0 km</w:t>
            </w:r>
          </w:p>
        </w:tc>
      </w:tr>
      <w:tr w:rsidR="0042161C" w:rsidRPr="00C454BA" w:rsidTr="00415D78">
        <w:trPr>
          <w:jc w:val="center"/>
        </w:trPr>
        <w:tc>
          <w:tcPr>
            <w:tcW w:w="3402" w:type="dxa"/>
            <w:vMerge/>
            <w:tcBorders>
              <w:bottom w:val="single" w:sz="4" w:space="0" w:color="auto"/>
            </w:tcBorders>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Small Cell Indoor</w:t>
            </w:r>
          </w:p>
        </w:tc>
        <w:tc>
          <w:tcPr>
            <w:tcW w:w="2551" w:type="dxa"/>
            <w:tcBorders>
              <w:top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1.0-10.0 km</w:t>
            </w:r>
          </w:p>
        </w:tc>
      </w:tr>
      <w:tr w:rsidR="0042161C" w:rsidRPr="00C454BA" w:rsidTr="0042161C">
        <w:trPr>
          <w:jc w:val="center"/>
        </w:trPr>
        <w:tc>
          <w:tcPr>
            <w:tcW w:w="3402" w:type="dxa"/>
            <w:vMerge w:val="restart"/>
            <w:tcBorders>
              <w:top w:val="single" w:sz="4" w:space="0" w:color="auto"/>
            </w:tcBorders>
            <w:vAlign w:val="center"/>
          </w:tcPr>
          <w:p w:rsidR="0042161C" w:rsidRPr="00C454BA" w:rsidRDefault="0042161C" w:rsidP="0042161C">
            <w:pPr>
              <w:pStyle w:val="Tabletext"/>
              <w:jc w:val="left"/>
              <w:rPr>
                <w:rFonts w:asciiTheme="majorBidi" w:hAnsiTheme="majorBidi" w:cstheme="majorBidi"/>
                <w:lang w:val="en-GB"/>
              </w:rPr>
            </w:pPr>
            <w:r w:rsidRPr="00C454BA">
              <w:rPr>
                <w:rFonts w:asciiTheme="majorBidi" w:hAnsiTheme="majorBidi" w:cstheme="majorBidi"/>
                <w:color w:val="000000"/>
                <w:lang w:val="en-GB"/>
              </w:rPr>
              <w:t>IMT UE into FS receive station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Suburban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1.0-24.0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Urban</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1.0-31.0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Small Cell Outdoor</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1.0-25.0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tcBorders>
          </w:tcPr>
          <w:p w:rsidR="0042161C" w:rsidRPr="00C454BA" w:rsidRDefault="0042161C" w:rsidP="00FB16E3">
            <w:pPr>
              <w:pStyle w:val="Tabletext"/>
              <w:jc w:val="center"/>
              <w:rPr>
                <w:rFonts w:asciiTheme="majorBidi" w:hAnsiTheme="majorBidi" w:cstheme="majorBidi"/>
                <w:color w:val="000000"/>
                <w:lang w:val="en-GB"/>
              </w:rPr>
            </w:pPr>
            <w:r w:rsidRPr="00C454BA">
              <w:rPr>
                <w:rFonts w:asciiTheme="majorBidi" w:hAnsiTheme="majorBidi" w:cstheme="majorBidi"/>
                <w:color w:val="000000"/>
                <w:lang w:val="en-GB"/>
              </w:rPr>
              <w:t>Small Cell Indoor</w:t>
            </w:r>
          </w:p>
        </w:tc>
        <w:tc>
          <w:tcPr>
            <w:tcW w:w="2551" w:type="dxa"/>
            <w:tcBorders>
              <w:top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&lt; 1.0 km</w:t>
            </w:r>
          </w:p>
        </w:tc>
      </w:tr>
    </w:tbl>
    <w:p w:rsidR="000E0A27" w:rsidRPr="00C454BA" w:rsidRDefault="000E0A27" w:rsidP="00BD35EB">
      <w:pPr>
        <w:pStyle w:val="Normalaftertitle0"/>
      </w:pPr>
      <w:r w:rsidRPr="00C454BA">
        <w:t>Furthermore, mobile operators can determine which locations are suitable for the deployment of IMT base stations, which can prove advantageous in terms of meeting any</w:t>
      </w:r>
      <w:r w:rsidR="00FB16E3" w:rsidRPr="00C454BA">
        <w:t xml:space="preserve"> required separation distances.</w:t>
      </w:r>
    </w:p>
    <w:p w:rsidR="000E0A27" w:rsidRPr="00C454BA" w:rsidRDefault="000E0A27" w:rsidP="000E0A27">
      <w:pPr>
        <w:pStyle w:val="Headingi"/>
        <w:rPr>
          <w:lang w:val="en-GB"/>
        </w:rPr>
      </w:pPr>
      <w:r w:rsidRPr="00C454BA">
        <w:rPr>
          <w:lang w:val="en-GB"/>
        </w:rPr>
        <w:lastRenderedPageBreak/>
        <w:t>Adjacent channel</w:t>
      </w:r>
    </w:p>
    <w:p w:rsidR="000E0A27" w:rsidRPr="00C454BA" w:rsidRDefault="000E0A27" w:rsidP="002F3F9A">
      <w:pPr>
        <w:keepNext/>
        <w:keepLines/>
        <w:rPr>
          <w:lang w:val="en-GB"/>
        </w:rPr>
      </w:pPr>
      <w:r w:rsidRPr="00C454BA">
        <w:rPr>
          <w:lang w:val="en-GB"/>
        </w:rPr>
        <w:t xml:space="preserve">Nineteen IMT base stations are positioned over the network area as illustrated in </w:t>
      </w:r>
      <w:r w:rsidR="00AD72AE" w:rsidRPr="00C454BA">
        <w:rPr>
          <w:lang w:val="en-GB"/>
        </w:rPr>
        <w:t>Fig.</w:t>
      </w:r>
      <w:r w:rsidRPr="00C454BA">
        <w:rPr>
          <w:lang w:val="en-GB"/>
        </w:rPr>
        <w:t xml:space="preserve"> 1.</w:t>
      </w:r>
      <w:r w:rsidR="00AD72AE" w:rsidRPr="00C454BA">
        <w:rPr>
          <w:lang w:val="en-GB"/>
        </w:rPr>
        <w:t xml:space="preserve"> </w:t>
      </w:r>
      <w:r w:rsidRPr="00C454BA">
        <w:rPr>
          <w:lang w:val="en-GB"/>
        </w:rPr>
        <w:t xml:space="preserve">The FS receive station is initially positioned at the centre of the IMT network area. The pointing angle of the FS receive antenna is along the -x axis toward the array of IMT base stations. (The pointing angles in </w:t>
      </w:r>
      <w:r w:rsidR="00F32779" w:rsidRPr="00C454BA">
        <w:rPr>
          <w:lang w:val="en-GB"/>
        </w:rPr>
        <w:t>Fig</w:t>
      </w:r>
      <w:r w:rsidRPr="00C454BA">
        <w:rPr>
          <w:lang w:val="en-GB"/>
        </w:rPr>
        <w:t xml:space="preserve">s </w:t>
      </w:r>
      <w:r w:rsidR="00F32779" w:rsidRPr="00C454BA">
        <w:rPr>
          <w:lang w:val="en-GB"/>
        </w:rPr>
        <w:t xml:space="preserve">4 and 5 </w:t>
      </w:r>
      <w:r w:rsidRPr="00C454BA">
        <w:rPr>
          <w:lang w:val="en-GB"/>
        </w:rPr>
        <w:t>are measured counter clockwise from the x-axis.) This positioning creates the worst case scenario for receiving interference from the IMT network. However, these pointing scenarios should be avoidable in practice, and as such, it could be expected that in reality interference is somewhat lower due to varying pointing direction of FS receive station with respect to IMT network., especially since operators make decisions about where to locate base stations. Next, the aggregate interference from the IMT base stations into the FS receive station is computed. Then the FS receive station position is moved incrementally along the x-axis and the aggregate interference is recomputed at each of these positions. This aggregate interference is compared with the FS protection requirement to determine the additional rejection needed to meet the protection requirement as a function of separation distance. The results are illus</w:t>
      </w:r>
      <w:r w:rsidR="00BB1D43" w:rsidRPr="00C454BA">
        <w:rPr>
          <w:lang w:val="en-GB"/>
        </w:rPr>
        <w:t>trated in Figs 4 and 5.</w:t>
      </w:r>
    </w:p>
    <w:p w:rsidR="000E0A27" w:rsidRPr="00C454BA" w:rsidRDefault="000E0A27" w:rsidP="00BB1D43">
      <w:pPr>
        <w:pStyle w:val="FigureNo"/>
        <w:rPr>
          <w:lang w:val="en-GB"/>
        </w:rPr>
      </w:pPr>
      <w:r w:rsidRPr="00C454BA">
        <w:rPr>
          <w:lang w:val="en-GB"/>
        </w:rPr>
        <w:t>Figure 4</w:t>
      </w:r>
    </w:p>
    <w:p w:rsidR="000E0A27" w:rsidRPr="00C454BA" w:rsidRDefault="000E0A27" w:rsidP="008A7FE5">
      <w:pPr>
        <w:pStyle w:val="Figuretitle"/>
        <w:rPr>
          <w:lang w:val="en-GB"/>
        </w:rPr>
      </w:pPr>
      <w:r w:rsidRPr="00C454BA">
        <w:rPr>
          <w:lang w:val="en-GB"/>
        </w:rPr>
        <w:t>Required Rejection</w:t>
      </w:r>
      <w:r w:rsidR="008A7FE5" w:rsidRPr="00C454BA">
        <w:rPr>
          <w:lang w:val="en-GB"/>
        </w:rPr>
        <w:t> –</w:t>
      </w:r>
      <w:r w:rsidRPr="00C454BA">
        <w:rPr>
          <w:lang w:val="en-GB"/>
        </w:rPr>
        <w:t xml:space="preserve"> IMT base station into FS receive station</w:t>
      </w:r>
      <w:r w:rsidRPr="00C454BA">
        <w:rPr>
          <w:lang w:val="en-GB"/>
        </w:rPr>
        <w:br/>
        <w:t>FS receive station located within IMT deployment area</w:t>
      </w:r>
    </w:p>
    <w:p w:rsidR="000E0A27" w:rsidRPr="00C454BA" w:rsidRDefault="00BE3828" w:rsidP="00057153">
      <w:pPr>
        <w:pStyle w:val="Figure"/>
        <w:rPr>
          <w:szCs w:val="24"/>
          <w:lang w:val="en-GB"/>
        </w:rPr>
      </w:pPr>
      <w:r>
        <w:object w:dxaOrig="6772" w:dyaOrig="3635">
          <v:shape id="_x0000_i1035" type="#_x0000_t75" style="width:444.15pt;height:238.45pt" o:ole="">
            <v:imagedata r:id="rId30" o:title=""/>
          </v:shape>
          <o:OLEObject Type="Embed" ProgID="CorelDraw.Graphic.16" ShapeID="_x0000_i1035" DrawAspect="Content" ObjectID="_1489930795" r:id="rId31"/>
        </w:object>
      </w:r>
    </w:p>
    <w:p w:rsidR="000E0A27" w:rsidRPr="00C454BA" w:rsidRDefault="000E0A27" w:rsidP="00BB1D43">
      <w:pPr>
        <w:pStyle w:val="FigureNo"/>
        <w:rPr>
          <w:lang w:val="en-GB"/>
        </w:rPr>
      </w:pPr>
      <w:r w:rsidRPr="00C454BA">
        <w:rPr>
          <w:lang w:val="en-GB"/>
        </w:rPr>
        <w:lastRenderedPageBreak/>
        <w:t xml:space="preserve">Figure </w:t>
      </w:r>
      <w:r w:rsidR="00BB1D43" w:rsidRPr="00C454BA">
        <w:rPr>
          <w:lang w:val="en-GB"/>
        </w:rPr>
        <w:t>5</w:t>
      </w:r>
    </w:p>
    <w:p w:rsidR="000E0A27" w:rsidRPr="00C454BA" w:rsidRDefault="000E0A27" w:rsidP="00BB1D43">
      <w:pPr>
        <w:pStyle w:val="Figuretitle"/>
        <w:rPr>
          <w:lang w:val="en-GB"/>
        </w:rPr>
      </w:pPr>
      <w:r w:rsidRPr="00C454BA">
        <w:rPr>
          <w:lang w:val="en-GB"/>
        </w:rPr>
        <w:t>Required Rejection</w:t>
      </w:r>
      <w:r w:rsidR="008A7FE5" w:rsidRPr="00C454BA">
        <w:rPr>
          <w:lang w:val="en-GB"/>
        </w:rPr>
        <w:t> –</w:t>
      </w:r>
      <w:r w:rsidRPr="00C454BA">
        <w:rPr>
          <w:lang w:val="en-GB"/>
        </w:rPr>
        <w:t xml:space="preserve"> IMT base station into FS receive station</w:t>
      </w:r>
      <w:r w:rsidR="00BB1D43" w:rsidRPr="00C454BA">
        <w:rPr>
          <w:lang w:val="en-GB"/>
        </w:rPr>
        <w:br/>
      </w:r>
      <w:r w:rsidRPr="00C454BA">
        <w:rPr>
          <w:lang w:val="en-GB"/>
        </w:rPr>
        <w:t>FS receive station located adjacent</w:t>
      </w:r>
      <w:r w:rsidR="00BB1D43" w:rsidRPr="00C454BA">
        <w:rPr>
          <w:lang w:val="en-GB"/>
        </w:rPr>
        <w:t xml:space="preserve"> </w:t>
      </w:r>
      <w:r w:rsidRPr="00C454BA">
        <w:rPr>
          <w:lang w:val="en-GB"/>
        </w:rPr>
        <w:t>to IMT deployment area</w:t>
      </w:r>
    </w:p>
    <w:p w:rsidR="000E0A27" w:rsidRPr="00C454BA" w:rsidRDefault="00F25001" w:rsidP="00057153">
      <w:pPr>
        <w:pStyle w:val="Figure"/>
        <w:rPr>
          <w:szCs w:val="24"/>
          <w:lang w:val="en-GB"/>
        </w:rPr>
      </w:pPr>
      <w:r>
        <w:object w:dxaOrig="6199" w:dyaOrig="3601">
          <v:shape id="_x0000_i1037" type="#_x0000_t75" style="width:407.7pt;height:236.55pt" o:ole="">
            <v:imagedata r:id="rId32" o:title=""/>
          </v:shape>
          <o:OLEObject Type="Embed" ProgID="CorelDraw.Graphic.16" ShapeID="_x0000_i1037" DrawAspect="Content" ObjectID="_1489930796" r:id="rId33"/>
        </w:object>
      </w:r>
      <w:r w:rsidR="000E0A27" w:rsidRPr="00C454BA">
        <w:rPr>
          <w:noProof/>
          <w:szCs w:val="24"/>
          <w:lang w:val="en-US" w:eastAsia="zh-CN"/>
        </w:rPr>
        <mc:AlternateContent>
          <mc:Choice Requires="wps">
            <w:drawing>
              <wp:anchor distT="0" distB="0" distL="114300" distR="114300" simplePos="0" relativeHeight="251659264" behindDoc="0" locked="0" layoutInCell="1" allowOverlap="1" wp14:anchorId="564E8D27" wp14:editId="1E89F067">
                <wp:simplePos x="0" y="0"/>
                <wp:positionH relativeFrom="column">
                  <wp:posOffset>4810760</wp:posOffset>
                </wp:positionH>
                <wp:positionV relativeFrom="paragraph">
                  <wp:posOffset>1283970</wp:posOffset>
                </wp:positionV>
                <wp:extent cx="260350" cy="1968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260350" cy="19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CA0" w:rsidRDefault="008B7CA0" w:rsidP="000E0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4E8D27" id="_x0000_t202" coordsize="21600,21600" o:spt="202" path="m,l,21600r21600,l21600,xe">
                <v:stroke joinstyle="miter"/>
                <v:path gradientshapeok="t" o:connecttype="rect"/>
              </v:shapetype>
              <v:shape id="Text Box 1" o:spid="_x0000_s1026" type="#_x0000_t202" style="position:absolute;left:0;text-align:left;margin-left:378.8pt;margin-top:101.1pt;width:20.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" fillcolor="white [3201]" stroked="f" strokeweight=".5pt">
                <v:textbox>
                  <w:txbxContent>
                    <w:p w:rsidR="008B7CA0" w:rsidRDefault="008B7CA0" w:rsidP="000E0A27"/>
                  </w:txbxContent>
                </v:textbox>
              </v:shape>
            </w:pict>
          </mc:Fallback>
        </mc:AlternateContent>
      </w:r>
    </w:p>
    <w:p w:rsidR="000E0A27" w:rsidRPr="00C454BA" w:rsidRDefault="000E0A27" w:rsidP="00A350D7">
      <w:pPr>
        <w:rPr>
          <w:lang w:val="en-GB"/>
        </w:rPr>
      </w:pPr>
      <w:r w:rsidRPr="00C454BA">
        <w:rPr>
          <w:lang w:val="en-GB"/>
        </w:rPr>
        <w:t>For the scenario of aggregate interference from IMT UE, a Monte Carlo simulation is used to determine the interference into the FS station receiver. The IMT UE are randomly positioned over each sector in sufficient numbers to ensure that the entire bandwidth of the FS receive station receiver is fully occupied by interfering signals. A specified percentage of the IMT UE are assumed to be located indoors. As described above, a power control algorithm is applied to assign path loss and transmit power levels to each of the UE. Again, the FS receive station is initially positioned just to the right of the IMT network area and its antenna is pointed along the –x axis, or directly toward the IMT service area. The aggregate interference is computed for a range of separation distances and compared with the FS protection requirement to derive the needed rejection as a function of distance. This calculation is repeated 50 times.</w:t>
      </w:r>
    </w:p>
    <w:p w:rsidR="000E0A27" w:rsidRPr="00C454BA" w:rsidRDefault="000E0A27" w:rsidP="000E0A27">
      <w:pPr>
        <w:rPr>
          <w:szCs w:val="24"/>
          <w:lang w:val="en-GB"/>
        </w:rPr>
      </w:pPr>
      <w:r w:rsidRPr="00C454BA">
        <w:rPr>
          <w:szCs w:val="24"/>
          <w:lang w:val="en-GB"/>
        </w:rPr>
        <w:t xml:space="preserve">These methodologies are applied to the deployment environments shown in the </w:t>
      </w:r>
      <w:r w:rsidR="00BB1D43" w:rsidRPr="00C454BA">
        <w:rPr>
          <w:szCs w:val="24"/>
          <w:lang w:val="en-GB"/>
        </w:rPr>
        <w:t xml:space="preserve">Tables </w:t>
      </w:r>
      <w:r w:rsidRPr="00C454BA">
        <w:rPr>
          <w:szCs w:val="24"/>
          <w:lang w:val="en-GB"/>
        </w:rPr>
        <w:t>above.</w:t>
      </w:r>
    </w:p>
    <w:p w:rsidR="000E0A27" w:rsidRPr="00C454BA" w:rsidRDefault="000E0A27" w:rsidP="000E0A27">
      <w:pPr>
        <w:pStyle w:val="Headingb"/>
        <w:rPr>
          <w:lang w:val="en-GB"/>
        </w:rPr>
      </w:pPr>
      <w:r w:rsidRPr="00C454BA">
        <w:rPr>
          <w:lang w:val="en-GB"/>
        </w:rPr>
        <w:t>Results of frequency separation calculations</w:t>
      </w:r>
    </w:p>
    <w:p w:rsidR="000E0A27" w:rsidRPr="00C454BA" w:rsidRDefault="000E0A27" w:rsidP="000E0A27">
      <w:pPr>
        <w:rPr>
          <w:szCs w:val="24"/>
          <w:lang w:val="en-GB"/>
        </w:rPr>
      </w:pPr>
      <w:r w:rsidRPr="00C454BA">
        <w:rPr>
          <w:szCs w:val="24"/>
          <w:lang w:val="en-GB"/>
        </w:rPr>
        <w:t>Frequency dependent rejection (FDR) is dependent on the characteristics of the interfering signal and the wanted receiver filter. FDR is calculated from the following equation:</w:t>
      </w:r>
    </w:p>
    <w:p w:rsidR="000E0A27" w:rsidRPr="00C454BA" w:rsidRDefault="000E0A27" w:rsidP="000E0A27">
      <w:pPr>
        <w:pStyle w:val="equation0"/>
        <w:rPr>
          <w:lang w:val="en-GB"/>
        </w:rPr>
      </w:pPr>
      <w:r w:rsidRPr="00C454BA">
        <w:rPr>
          <w:lang w:val="en-GB"/>
        </w:rPr>
        <w:tab/>
      </w:r>
      <w:r w:rsidR="0029242F" w:rsidRPr="00C454BA">
        <w:rPr>
          <w:position w:val="-68"/>
          <w:lang w:val="en-GB"/>
        </w:rPr>
        <w:object w:dxaOrig="4140" w:dyaOrig="1480">
          <v:shape id="_x0000_i1030" type="#_x0000_t75" style="width:206.65pt;height:72.95pt" o:ole="">
            <v:imagedata r:id="rId34" o:title=""/>
          </v:shape>
          <o:OLEObject Type="Embed" ProgID="Equation.3" ShapeID="_x0000_i1030" DrawAspect="Content" ObjectID="_1489930797" r:id="rId35"/>
        </w:object>
      </w:r>
    </w:p>
    <w:p w:rsidR="000E0A27" w:rsidRPr="00C454BA" w:rsidRDefault="000E0A27" w:rsidP="00BB1D43">
      <w:pPr>
        <w:spacing w:before="0"/>
        <w:rPr>
          <w:lang w:val="en-GB"/>
        </w:rPr>
      </w:pPr>
      <w:r w:rsidRPr="00C454BA">
        <w:rPr>
          <w:lang w:val="en-GB"/>
        </w:rPr>
        <w:t>where:</w:t>
      </w:r>
    </w:p>
    <w:p w:rsidR="000E0A27" w:rsidRPr="00C454BA" w:rsidRDefault="00BB1D43" w:rsidP="0029242F">
      <w:pPr>
        <w:pStyle w:val="Equationlegend"/>
        <w:spacing w:before="60"/>
        <w:rPr>
          <w:lang w:val="en-GB"/>
        </w:rPr>
      </w:pPr>
      <w:r w:rsidRPr="00C454BA">
        <w:rPr>
          <w:lang w:val="en-GB"/>
        </w:rPr>
        <w:tab/>
      </w:r>
      <w:r w:rsidR="000E0A27" w:rsidRPr="00C454BA">
        <w:rPr>
          <w:lang w:val="en-GB"/>
        </w:rPr>
        <w:t>FDR</w:t>
      </w:r>
      <w:r w:rsidRPr="00C454BA">
        <w:rPr>
          <w:lang w:val="en-GB"/>
        </w:rPr>
        <w:t>:</w:t>
      </w:r>
      <w:r w:rsidRPr="00C454BA">
        <w:rPr>
          <w:lang w:val="en-GB"/>
        </w:rPr>
        <w:tab/>
      </w:r>
      <w:r w:rsidR="000E0A27" w:rsidRPr="00C454BA">
        <w:rPr>
          <w:lang w:val="en-GB"/>
        </w:rPr>
        <w:t>Frequency dependent rejection, dB</w:t>
      </w:r>
    </w:p>
    <w:p w:rsidR="000E0A27" w:rsidRPr="00C454BA" w:rsidRDefault="000E0A27" w:rsidP="0029242F">
      <w:pPr>
        <w:pStyle w:val="Equationlegend"/>
        <w:spacing w:before="60"/>
        <w:rPr>
          <w:lang w:val="en-GB"/>
        </w:rPr>
      </w:pPr>
      <w:r w:rsidRPr="00C454BA">
        <w:rPr>
          <w:lang w:val="en-GB"/>
        </w:rPr>
        <w:tab/>
        <w:t>S</w:t>
      </w:r>
      <w:r w:rsidR="00BB1D43" w:rsidRPr="00C454BA">
        <w:rPr>
          <w:lang w:val="en-GB"/>
        </w:rPr>
        <w:t>:</w:t>
      </w:r>
      <w:r w:rsidRPr="00C454BA">
        <w:rPr>
          <w:lang w:val="en-GB"/>
        </w:rPr>
        <w:tab/>
        <w:t>Power spectral density of the interfering signal, W/Hz</w:t>
      </w:r>
    </w:p>
    <w:p w:rsidR="000E0A27" w:rsidRPr="00C454BA" w:rsidRDefault="000E0A27" w:rsidP="0029242F">
      <w:pPr>
        <w:pStyle w:val="Equationlegend"/>
        <w:spacing w:before="60"/>
        <w:rPr>
          <w:lang w:val="en-GB"/>
        </w:rPr>
      </w:pPr>
      <w:r w:rsidRPr="00C454BA">
        <w:rPr>
          <w:lang w:val="en-GB"/>
        </w:rPr>
        <w:tab/>
        <w:t>F</w:t>
      </w:r>
      <w:r w:rsidR="00BB1D43" w:rsidRPr="00C454BA">
        <w:rPr>
          <w:lang w:val="en-GB"/>
        </w:rPr>
        <w:t>:</w:t>
      </w:r>
      <w:r w:rsidRPr="00C454BA">
        <w:rPr>
          <w:lang w:val="en-GB"/>
        </w:rPr>
        <w:tab/>
        <w:t>Frequency response of the wanted receiver, relative power fraction</w:t>
      </w:r>
    </w:p>
    <w:p w:rsidR="000E0A27" w:rsidRPr="00C454BA" w:rsidRDefault="000E0A27" w:rsidP="0029242F">
      <w:pPr>
        <w:pStyle w:val="Equationlegend"/>
        <w:spacing w:before="60"/>
        <w:rPr>
          <w:lang w:val="en-GB"/>
        </w:rPr>
      </w:pPr>
      <w:r w:rsidRPr="00C454BA">
        <w:rPr>
          <w:lang w:val="en-GB"/>
        </w:rPr>
        <w:tab/>
        <w:t>f</w:t>
      </w:r>
      <w:r w:rsidR="00BB1D43" w:rsidRPr="00C454BA">
        <w:rPr>
          <w:lang w:val="en-GB"/>
        </w:rPr>
        <w:t>:</w:t>
      </w:r>
      <w:r w:rsidRPr="00C454BA">
        <w:rPr>
          <w:lang w:val="en-GB"/>
        </w:rPr>
        <w:tab/>
        <w:t>Frequency, Hz</w:t>
      </w:r>
    </w:p>
    <w:p w:rsidR="000E0A27" w:rsidRPr="00C454BA" w:rsidRDefault="000E0A27" w:rsidP="0029242F">
      <w:pPr>
        <w:pStyle w:val="Equationlegend"/>
        <w:spacing w:before="60"/>
        <w:rPr>
          <w:lang w:val="en-GB"/>
        </w:rPr>
      </w:pPr>
      <w:r w:rsidRPr="00C454BA">
        <w:rPr>
          <w:rFonts w:ascii="Calibri" w:hAnsi="Calibri"/>
          <w:lang w:val="en-GB"/>
        </w:rPr>
        <w:tab/>
      </w:r>
      <w:r w:rsidRPr="00C454BA">
        <w:rPr>
          <w:rFonts w:asciiTheme="majorBidi" w:hAnsiTheme="majorBidi" w:cstheme="majorBidi"/>
          <w:lang w:val="en-GB"/>
        </w:rPr>
        <w:t>Δ</w:t>
      </w:r>
      <w:r w:rsidRPr="00C454BA">
        <w:rPr>
          <w:lang w:val="en-GB"/>
        </w:rPr>
        <w:t>f</w:t>
      </w:r>
      <w:r w:rsidRPr="00C454BA">
        <w:rPr>
          <w:lang w:val="en-GB"/>
        </w:rPr>
        <w:tab/>
        <w:t xml:space="preserve"> = Frequency offset, Hz</w:t>
      </w:r>
      <w:r w:rsidR="0029242F" w:rsidRPr="00C454BA">
        <w:rPr>
          <w:lang w:val="en-GB"/>
        </w:rPr>
        <w:t>.</w:t>
      </w:r>
    </w:p>
    <w:p w:rsidR="000E0A27" w:rsidRPr="00C454BA" w:rsidRDefault="000E0A27" w:rsidP="0029242F">
      <w:pPr>
        <w:rPr>
          <w:szCs w:val="24"/>
          <w:lang w:val="en-GB"/>
        </w:rPr>
      </w:pPr>
      <w:r w:rsidRPr="00C454BA">
        <w:rPr>
          <w:szCs w:val="24"/>
          <w:lang w:val="en-GB"/>
        </w:rPr>
        <w:lastRenderedPageBreak/>
        <w:t>The interfering signal, S, is modelled as a flat spectrum within the signal bandwidth and a specified adjacent channel leakage ratio (ACLR) curve outside the signal bandwidth. Similarly, the wanted receiver filter response, F, is modelled as a flat response within the receive signal bandwidth and a specified adjacent channel selectivity (ACS) curve outside the signal bandwidth. The following figures show the interfering signal, wanted receiver frequency response, and resulting FDR for each interference scenario considered here.</w:t>
      </w:r>
    </w:p>
    <w:p w:rsidR="000E0A27" w:rsidRPr="00C454BA" w:rsidRDefault="0029242F" w:rsidP="000E0A27">
      <w:pPr>
        <w:pStyle w:val="FigureNo"/>
        <w:rPr>
          <w:lang w:val="en-GB"/>
        </w:rPr>
      </w:pPr>
      <w:r w:rsidRPr="00C454BA">
        <w:rPr>
          <w:lang w:val="en-GB"/>
        </w:rPr>
        <w:t>Figure 6</w:t>
      </w:r>
    </w:p>
    <w:p w:rsidR="000E0A27" w:rsidRPr="00C454BA" w:rsidRDefault="000E0A27" w:rsidP="008A7FE5">
      <w:pPr>
        <w:pStyle w:val="Figuretitle"/>
        <w:rPr>
          <w:lang w:val="en-GB"/>
        </w:rPr>
      </w:pPr>
      <w:r w:rsidRPr="00C454BA">
        <w:rPr>
          <w:lang w:val="en-GB"/>
        </w:rPr>
        <w:t>Frequency dependent rejection</w:t>
      </w:r>
      <w:r w:rsidR="008A7FE5" w:rsidRPr="00C454BA">
        <w:rPr>
          <w:lang w:val="en-GB"/>
        </w:rPr>
        <w:t> –</w:t>
      </w:r>
      <w:r w:rsidRPr="00C454BA">
        <w:rPr>
          <w:lang w:val="en-GB"/>
        </w:rPr>
        <w:t xml:space="preserve"> IMT base station into FS receive station</w:t>
      </w:r>
    </w:p>
    <w:p w:rsidR="000E0A27" w:rsidRPr="00C454BA" w:rsidRDefault="00F25001" w:rsidP="00061FA0">
      <w:pPr>
        <w:pStyle w:val="Figure"/>
        <w:rPr>
          <w:szCs w:val="24"/>
          <w:lang w:val="en-GB"/>
        </w:rPr>
      </w:pPr>
      <w:r>
        <w:object w:dxaOrig="6585" w:dyaOrig="6625">
          <v:shape id="_x0000_i1039" type="#_x0000_t75" style="width:385.25pt;height:388.05pt" o:ole="">
            <v:imagedata r:id="rId36" o:title=""/>
          </v:shape>
          <o:OLEObject Type="Embed" ProgID="CorelDraw.Graphic.16" ShapeID="_x0000_i1039" DrawAspect="Content" ObjectID="_1489930798" r:id="rId37"/>
        </w:object>
      </w:r>
    </w:p>
    <w:p w:rsidR="000E0A27" w:rsidRPr="00C454BA" w:rsidRDefault="0029242F" w:rsidP="000E0A27">
      <w:pPr>
        <w:pStyle w:val="FigureNo"/>
        <w:rPr>
          <w:lang w:val="en-GB"/>
        </w:rPr>
      </w:pPr>
      <w:r w:rsidRPr="00C454BA">
        <w:rPr>
          <w:lang w:val="en-GB"/>
        </w:rPr>
        <w:lastRenderedPageBreak/>
        <w:t>Figure 7</w:t>
      </w:r>
    </w:p>
    <w:p w:rsidR="000E0A27" w:rsidRPr="00C454BA" w:rsidRDefault="000E0A27" w:rsidP="008A7FE5">
      <w:pPr>
        <w:pStyle w:val="Figuretitle"/>
        <w:rPr>
          <w:lang w:val="en-GB"/>
        </w:rPr>
      </w:pPr>
      <w:r w:rsidRPr="00C454BA">
        <w:rPr>
          <w:lang w:val="en-GB"/>
        </w:rPr>
        <w:t>Frequency dependent rejection</w:t>
      </w:r>
      <w:r w:rsidR="008A7FE5" w:rsidRPr="00C454BA">
        <w:rPr>
          <w:lang w:val="en-GB"/>
        </w:rPr>
        <w:t> –</w:t>
      </w:r>
      <w:r w:rsidRPr="00C454BA">
        <w:rPr>
          <w:lang w:val="en-GB"/>
        </w:rPr>
        <w:t xml:space="preserve"> IMT UE into FS receive station</w:t>
      </w:r>
    </w:p>
    <w:bookmarkStart w:id="2" w:name="_GoBack"/>
    <w:p w:rsidR="000E0A27" w:rsidRPr="00C454BA" w:rsidRDefault="00F25001" w:rsidP="00061FA0">
      <w:pPr>
        <w:pStyle w:val="Figure"/>
        <w:rPr>
          <w:szCs w:val="24"/>
          <w:lang w:val="en-GB"/>
        </w:rPr>
      </w:pPr>
      <w:r>
        <w:object w:dxaOrig="6585" w:dyaOrig="6625">
          <v:shape id="_x0000_i1041" type="#_x0000_t75" style="width:357.2pt;height:359.55pt" o:ole="">
            <v:imagedata r:id="rId38" o:title=""/>
          </v:shape>
          <o:OLEObject Type="Embed" ProgID="CorelDraw.Graphic.16" ShapeID="_x0000_i1041" DrawAspect="Content" ObjectID="_1489930799" r:id="rId39"/>
        </w:object>
      </w:r>
      <w:bookmarkEnd w:id="2"/>
    </w:p>
    <w:p w:rsidR="000E0A27" w:rsidRPr="00C454BA" w:rsidRDefault="000E0A27" w:rsidP="00FD62EF">
      <w:pPr>
        <w:rPr>
          <w:lang w:val="en-GB"/>
        </w:rPr>
      </w:pPr>
      <w:r w:rsidRPr="00C454BA">
        <w:rPr>
          <w:lang w:val="en-GB"/>
        </w:rPr>
        <w:t>The adjacent channel interference levels and FDR curves computed above are combined to derive the frequency separation (centre-to-centre) necessary to meet the stated protection requirement at various separation distances. Table 6 provides results for selected separation distances for the various interference scenarios and deployment environments considered here.</w:t>
      </w:r>
    </w:p>
    <w:p w:rsidR="000E0A27" w:rsidRPr="00C454BA" w:rsidRDefault="00FD62EF" w:rsidP="000E0A27">
      <w:pPr>
        <w:pStyle w:val="TableNo"/>
        <w:rPr>
          <w:lang w:val="en-GB"/>
        </w:rPr>
      </w:pPr>
      <w:r w:rsidRPr="00C454BA">
        <w:rPr>
          <w:lang w:val="en-GB"/>
        </w:rPr>
        <w:lastRenderedPageBreak/>
        <w:t xml:space="preserve">TABLE </w:t>
      </w:r>
      <w:r w:rsidR="000E0A27" w:rsidRPr="00C454BA">
        <w:rPr>
          <w:lang w:val="en-GB"/>
        </w:rPr>
        <w:t>6</w:t>
      </w:r>
    </w:p>
    <w:p w:rsidR="000E0A27" w:rsidRPr="00C454BA" w:rsidRDefault="000E0A27" w:rsidP="00455AD4">
      <w:pPr>
        <w:pStyle w:val="Tabletitle"/>
        <w:rPr>
          <w:lang w:val="en-GB"/>
        </w:rPr>
      </w:pPr>
      <w:r w:rsidRPr="00C454BA">
        <w:rPr>
          <w:lang w:val="en-GB"/>
        </w:rPr>
        <w:t>Adjacent Channel Frequency/Distance Separation</w:t>
      </w:r>
      <w:r w:rsidRPr="00C454BA">
        <w:rPr>
          <w:lang w:val="en-GB"/>
        </w:rPr>
        <w:br/>
        <w:t>IMT Signal Bandwidth = 10.0 MHz,</w:t>
      </w:r>
      <w:r w:rsidR="00455AD4" w:rsidRPr="00C454BA">
        <w:rPr>
          <w:lang w:val="en-GB"/>
        </w:rPr>
        <w:t xml:space="preserve"> </w:t>
      </w:r>
      <w:r w:rsidRPr="00C454BA">
        <w:rPr>
          <w:lang w:val="en-GB"/>
        </w:rPr>
        <w:t>FS Signal Bandwidth = 8.0 MHz</w:t>
      </w:r>
    </w:p>
    <w:tbl>
      <w:tblPr>
        <w:tblStyle w:val="TableGrid"/>
        <w:tblW w:w="0" w:type="auto"/>
        <w:jc w:val="center"/>
        <w:tblLayout w:type="fixed"/>
        <w:tblLook w:val="04A0" w:firstRow="1" w:lastRow="0" w:firstColumn="1" w:lastColumn="0" w:noHBand="0" w:noVBand="1"/>
      </w:tblPr>
      <w:tblGrid>
        <w:gridCol w:w="1587"/>
        <w:gridCol w:w="1474"/>
        <w:gridCol w:w="1020"/>
        <w:gridCol w:w="1109"/>
        <w:gridCol w:w="1134"/>
        <w:gridCol w:w="1134"/>
        <w:gridCol w:w="1134"/>
        <w:gridCol w:w="1022"/>
      </w:tblGrid>
      <w:tr w:rsidR="00455AD4" w:rsidRPr="00C454BA" w:rsidTr="005B2BDD">
        <w:trPr>
          <w:cantSplit/>
          <w:jc w:val="center"/>
        </w:trPr>
        <w:tc>
          <w:tcPr>
            <w:tcW w:w="1587" w:type="dxa"/>
            <w:vMerge w:val="restart"/>
            <w:vAlign w:val="center"/>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Scenario</w:t>
            </w:r>
          </w:p>
        </w:tc>
        <w:tc>
          <w:tcPr>
            <w:tcW w:w="1474" w:type="dxa"/>
            <w:vMerge w:val="restart"/>
            <w:vAlign w:val="center"/>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Environment</w:t>
            </w:r>
          </w:p>
        </w:tc>
        <w:tc>
          <w:tcPr>
            <w:tcW w:w="1020" w:type="dxa"/>
            <w:vMerge w:val="restart"/>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FS Pointing</w:t>
            </w:r>
            <w:r w:rsidRPr="00C454BA">
              <w:rPr>
                <w:rFonts w:asciiTheme="majorBidi" w:hAnsiTheme="majorBidi" w:cstheme="majorBidi"/>
                <w:lang w:val="en-GB"/>
              </w:rPr>
              <w:br/>
              <w:t>Angle</w:t>
            </w:r>
          </w:p>
        </w:tc>
        <w:tc>
          <w:tcPr>
            <w:tcW w:w="5533" w:type="dxa"/>
            <w:gridSpan w:val="5"/>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Frequency Separation</w:t>
            </w:r>
          </w:p>
        </w:tc>
      </w:tr>
      <w:tr w:rsidR="00455AD4" w:rsidRPr="00C454BA" w:rsidTr="005B2BDD">
        <w:trPr>
          <w:cantSplit/>
          <w:jc w:val="center"/>
        </w:trPr>
        <w:tc>
          <w:tcPr>
            <w:tcW w:w="1587" w:type="dxa"/>
            <w:vMerge/>
            <w:vAlign w:val="center"/>
          </w:tcPr>
          <w:p w:rsidR="00455AD4" w:rsidRPr="00C454BA" w:rsidRDefault="00455AD4" w:rsidP="005B2BDD">
            <w:pPr>
              <w:pStyle w:val="Tablehead"/>
              <w:keepLines/>
              <w:rPr>
                <w:rFonts w:asciiTheme="majorBidi" w:hAnsiTheme="majorBidi" w:cstheme="majorBidi"/>
                <w:lang w:val="en-GB"/>
              </w:rPr>
            </w:pPr>
          </w:p>
        </w:tc>
        <w:tc>
          <w:tcPr>
            <w:tcW w:w="1474" w:type="dxa"/>
            <w:vMerge/>
          </w:tcPr>
          <w:p w:rsidR="00455AD4" w:rsidRPr="00C454BA" w:rsidRDefault="00455AD4" w:rsidP="005B2BDD">
            <w:pPr>
              <w:pStyle w:val="Tablehead"/>
              <w:keepLines/>
              <w:rPr>
                <w:rFonts w:asciiTheme="majorBidi" w:hAnsiTheme="majorBidi" w:cstheme="majorBidi"/>
                <w:lang w:val="en-GB"/>
              </w:rPr>
            </w:pPr>
          </w:p>
        </w:tc>
        <w:tc>
          <w:tcPr>
            <w:tcW w:w="1020" w:type="dxa"/>
            <w:vMerge/>
          </w:tcPr>
          <w:p w:rsidR="00455AD4" w:rsidRPr="00C454BA" w:rsidRDefault="00455AD4" w:rsidP="005B2BDD">
            <w:pPr>
              <w:pStyle w:val="Tablehead"/>
              <w:keepLines/>
              <w:rPr>
                <w:rFonts w:asciiTheme="majorBidi" w:hAnsiTheme="majorBidi" w:cstheme="majorBidi"/>
                <w:lang w:val="en-GB"/>
              </w:rPr>
            </w:pPr>
          </w:p>
        </w:tc>
        <w:tc>
          <w:tcPr>
            <w:tcW w:w="1109"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1.0 km</w:t>
            </w:r>
          </w:p>
        </w:tc>
        <w:tc>
          <w:tcPr>
            <w:tcW w:w="1134"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5.0 km</w:t>
            </w:r>
          </w:p>
        </w:tc>
        <w:tc>
          <w:tcPr>
            <w:tcW w:w="1134"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km</w:t>
            </w:r>
          </w:p>
        </w:tc>
        <w:tc>
          <w:tcPr>
            <w:tcW w:w="1134"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20.0 km</w:t>
            </w:r>
          </w:p>
        </w:tc>
        <w:tc>
          <w:tcPr>
            <w:tcW w:w="1022"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30.0 km</w:t>
            </w:r>
          </w:p>
        </w:tc>
      </w:tr>
      <w:tr w:rsidR="000E0A27" w:rsidRPr="00C454BA" w:rsidTr="005B2BDD">
        <w:trPr>
          <w:cantSplit/>
          <w:jc w:val="center"/>
        </w:trPr>
        <w:tc>
          <w:tcPr>
            <w:tcW w:w="1587" w:type="dxa"/>
            <w:vMerge w:val="restart"/>
            <w:vAlign w:val="center"/>
          </w:tcPr>
          <w:p w:rsidR="000E0A27" w:rsidRPr="00C454BA" w:rsidRDefault="000E0A27" w:rsidP="005B2BDD">
            <w:pPr>
              <w:pStyle w:val="Tabletext"/>
              <w:keepNext/>
              <w:keepLines/>
              <w:jc w:val="left"/>
              <w:rPr>
                <w:rFonts w:asciiTheme="majorBidi" w:hAnsiTheme="majorBidi" w:cstheme="majorBidi"/>
                <w:lang w:val="en-GB"/>
              </w:rPr>
            </w:pPr>
            <w:r w:rsidRPr="00C454BA">
              <w:rPr>
                <w:rFonts w:asciiTheme="majorBidi" w:hAnsiTheme="majorBidi" w:cstheme="majorBidi"/>
                <w:lang w:val="en-GB"/>
              </w:rPr>
              <w:t>IMT base station into FS receive station</w:t>
            </w: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Suburban</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27.7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022"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r>
      <w:tr w:rsidR="000E0A27" w:rsidRPr="00C454BA" w:rsidTr="005B2BDD">
        <w:trPr>
          <w:cantSplit/>
          <w:jc w:val="center"/>
        </w:trPr>
        <w:tc>
          <w:tcPr>
            <w:tcW w:w="1587" w:type="dxa"/>
            <w:vMerge/>
            <w:vAlign w:val="center"/>
          </w:tcPr>
          <w:p w:rsidR="000E0A27" w:rsidRPr="00C454BA" w:rsidRDefault="000E0A27" w:rsidP="005B2BDD">
            <w:pPr>
              <w:pStyle w:val="Tabletext"/>
              <w:keepNext/>
              <w:keepLines/>
              <w:jc w:val="left"/>
              <w:rPr>
                <w:rFonts w:asciiTheme="majorBidi" w:hAnsiTheme="majorBidi" w:cstheme="majorBidi"/>
                <w:lang w:val="en-GB"/>
              </w:rPr>
            </w:pP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Urban</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25.4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022"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8.9 MHz</w:t>
            </w:r>
          </w:p>
        </w:tc>
      </w:tr>
      <w:tr w:rsidR="000E0A27" w:rsidRPr="00C454BA" w:rsidTr="005B2BDD">
        <w:trPr>
          <w:cantSplit/>
          <w:jc w:val="center"/>
        </w:trPr>
        <w:tc>
          <w:tcPr>
            <w:tcW w:w="1587" w:type="dxa"/>
            <w:vMerge/>
            <w:vAlign w:val="center"/>
          </w:tcPr>
          <w:p w:rsidR="000E0A27" w:rsidRPr="00C454BA" w:rsidRDefault="000E0A27" w:rsidP="005B2BDD">
            <w:pPr>
              <w:pStyle w:val="Tabletext"/>
              <w:keepNext/>
              <w:keepLines/>
              <w:jc w:val="left"/>
              <w:rPr>
                <w:rFonts w:asciiTheme="majorBidi" w:hAnsiTheme="majorBidi" w:cstheme="majorBidi"/>
                <w:lang w:val="en-GB"/>
              </w:rPr>
            </w:pP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Outdoor</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25.8 MHz</w:t>
            </w:r>
            <w:r w:rsidRPr="00C454BA">
              <w:rPr>
                <w:rFonts w:asciiTheme="majorBidi" w:hAnsiTheme="majorBidi" w:cstheme="majorBidi"/>
                <w:lang w:val="en-GB"/>
              </w:rPr>
              <w:br/>
              <w:t>8.8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19.8 MHz</w:t>
            </w:r>
            <w:r w:rsidRPr="00C454BA">
              <w:rPr>
                <w:rFonts w:asciiTheme="majorBidi" w:hAnsiTheme="majorBidi" w:cstheme="majorBidi"/>
                <w:lang w:val="en-GB"/>
              </w:rPr>
              <w:br/>
              <w:t>8.3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9.0 MHz</w:t>
            </w:r>
            <w:r w:rsidRPr="00C454BA">
              <w:rPr>
                <w:rFonts w:asciiTheme="majorBidi" w:hAnsiTheme="majorBidi" w:cstheme="majorBidi"/>
                <w:lang w:val="en-GB"/>
              </w:rPr>
              <w:br/>
              <w:t>6.2 MHz</w:t>
            </w:r>
          </w:p>
        </w:tc>
        <w:tc>
          <w:tcPr>
            <w:tcW w:w="1022"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9.0 MHz</w:t>
            </w:r>
            <w:r w:rsidRPr="00C454BA">
              <w:rPr>
                <w:rFonts w:asciiTheme="majorBidi" w:hAnsiTheme="majorBidi" w:cstheme="majorBidi"/>
                <w:lang w:val="en-GB"/>
              </w:rPr>
              <w:br/>
              <w:t>0.9 MHz</w:t>
            </w:r>
          </w:p>
        </w:tc>
      </w:tr>
      <w:tr w:rsidR="000E0A27" w:rsidRPr="00C454BA" w:rsidTr="005B2BDD">
        <w:trPr>
          <w:cantSplit/>
          <w:jc w:val="center"/>
        </w:trPr>
        <w:tc>
          <w:tcPr>
            <w:tcW w:w="1587" w:type="dxa"/>
            <w:vMerge/>
            <w:vAlign w:val="center"/>
          </w:tcPr>
          <w:p w:rsidR="000E0A27" w:rsidRPr="00C454BA" w:rsidRDefault="000E0A27" w:rsidP="005B2BDD">
            <w:pPr>
              <w:pStyle w:val="Tabletext"/>
              <w:keepNext/>
              <w:keepLines/>
              <w:jc w:val="left"/>
              <w:rPr>
                <w:rFonts w:asciiTheme="majorBidi" w:hAnsiTheme="majorBidi" w:cstheme="majorBidi"/>
                <w:lang w:val="en-GB"/>
              </w:rPr>
            </w:pP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Indoor</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6.3 MHz</w:t>
            </w:r>
            <w:r w:rsidRPr="00C454BA">
              <w:rPr>
                <w:rFonts w:asciiTheme="majorBidi" w:hAnsiTheme="majorBidi" w:cstheme="majorBidi"/>
                <w:lang w:val="en-GB"/>
              </w:rPr>
              <w:br/>
              <w:t>0.0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val="restart"/>
            <w:vAlign w:val="center"/>
          </w:tcPr>
          <w:p w:rsidR="00455AD4" w:rsidRPr="00C454BA" w:rsidRDefault="00455AD4" w:rsidP="005B2BDD">
            <w:pPr>
              <w:pStyle w:val="Tabletext"/>
              <w:keepNext/>
              <w:keepLines/>
              <w:jc w:val="left"/>
              <w:rPr>
                <w:rFonts w:asciiTheme="majorBidi" w:hAnsiTheme="majorBidi" w:cstheme="majorBidi"/>
                <w:lang w:val="en-GB"/>
              </w:rPr>
            </w:pPr>
            <w:r w:rsidRPr="00C454BA">
              <w:rPr>
                <w:rFonts w:asciiTheme="majorBidi" w:hAnsiTheme="majorBidi" w:cstheme="majorBidi"/>
                <w:lang w:val="en-GB"/>
              </w:rPr>
              <w:t>IMT UE into FS receive station</w:t>
            </w: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Suburban</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b/>
                <w:lang w:val="en-GB"/>
              </w:rPr>
            </w:pPr>
            <w:r w:rsidRPr="00C454BA">
              <w:rPr>
                <w:rFonts w:asciiTheme="majorBidi" w:hAnsiTheme="majorBidi" w:cstheme="majorBidi"/>
                <w:lang w:val="en-GB"/>
              </w:rPr>
              <w:t>6.3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5.7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3.2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tcPr>
          <w:p w:rsidR="00455AD4" w:rsidRPr="00C454BA" w:rsidRDefault="00455AD4" w:rsidP="005B2BDD">
            <w:pPr>
              <w:pStyle w:val="Tabletext"/>
              <w:keepNext/>
              <w:keepLines/>
              <w:rPr>
                <w:rFonts w:asciiTheme="majorBidi" w:hAnsiTheme="majorBidi" w:cstheme="majorBidi"/>
                <w:lang w:val="en-GB"/>
              </w:rPr>
            </w:pP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Urban</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8.2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7.3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5.4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tcPr>
          <w:p w:rsidR="00455AD4" w:rsidRPr="00C454BA" w:rsidRDefault="00455AD4" w:rsidP="005B2BDD">
            <w:pPr>
              <w:pStyle w:val="Tabletext"/>
              <w:keepNext/>
              <w:keepLines/>
              <w:rPr>
                <w:rFonts w:asciiTheme="majorBidi" w:hAnsiTheme="majorBidi" w:cstheme="majorBidi"/>
                <w:lang w:val="en-GB"/>
              </w:rPr>
            </w:pP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Outdoor</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6.6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tcPr>
          <w:p w:rsidR="00455AD4" w:rsidRPr="00C454BA" w:rsidRDefault="00455AD4" w:rsidP="005B2BDD">
            <w:pPr>
              <w:pStyle w:val="Tabletext"/>
              <w:keepNext/>
              <w:keepLines/>
              <w:rPr>
                <w:rFonts w:asciiTheme="majorBidi" w:hAnsiTheme="majorBidi" w:cstheme="majorBidi"/>
                <w:lang w:val="en-GB"/>
              </w:rPr>
            </w:pP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Indoor</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6.0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2.2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bl>
    <w:p w:rsidR="00455AD4" w:rsidRPr="00C454BA" w:rsidRDefault="00455AD4" w:rsidP="00455AD4">
      <w:pPr>
        <w:pStyle w:val="Tablefin"/>
      </w:pPr>
    </w:p>
    <w:p w:rsidR="000E0A27" w:rsidRPr="00C454BA" w:rsidRDefault="000E0A27" w:rsidP="000E0A27">
      <w:pPr>
        <w:pStyle w:val="Headingb"/>
        <w:rPr>
          <w:lang w:val="en-GB"/>
        </w:rPr>
      </w:pPr>
      <w:r w:rsidRPr="00C454BA">
        <w:rPr>
          <w:lang w:val="en-GB"/>
        </w:rPr>
        <w:t>Conclusions</w:t>
      </w:r>
    </w:p>
    <w:p w:rsidR="000E0A27" w:rsidRPr="00C454BA" w:rsidRDefault="000E0A27" w:rsidP="002F3F9A">
      <w:pPr>
        <w:rPr>
          <w:lang w:val="en-GB"/>
        </w:rPr>
      </w:pPr>
      <w:r w:rsidRPr="00C454BA">
        <w:rPr>
          <w:lang w:val="en-GB"/>
        </w:rPr>
        <w:t>The co-frequency channel results show that the required separation distance can range from less than one kilometre to nearly 100 k</w:t>
      </w:r>
      <w:r w:rsidR="002F3F9A">
        <w:rPr>
          <w:lang w:val="en-GB"/>
        </w:rPr>
        <w:t>m</w:t>
      </w:r>
      <w:r w:rsidRPr="00C454BA">
        <w:rPr>
          <w:lang w:val="en-GB"/>
        </w:rPr>
        <w:t xml:space="preserve">, depending on the interference scenario and deployment environment. These results are based on worst-case assumptions including the pointing direction of the IMT station and the application of the propagation model. Furthermore, mobile operators can determine which locations are suitable for the deployment of IMT base stations, which can prove advantageous in terms of meeting any required separation distances. </w:t>
      </w:r>
    </w:p>
    <w:p w:rsidR="000E0A27" w:rsidRPr="00C454BA" w:rsidRDefault="000E0A27" w:rsidP="002F3F9A">
      <w:pPr>
        <w:rPr>
          <w:lang w:val="en-GB"/>
        </w:rPr>
      </w:pPr>
      <w:r w:rsidRPr="00C454BA">
        <w:rPr>
          <w:lang w:val="en-GB"/>
        </w:rPr>
        <w:t>The adjacent channel results show that in the worst-case scenarios (FS receive station pointing directly toward a macro deployment of IMT base stations) the separation distance needed to protect the FS station exceeds 30 k</w:t>
      </w:r>
      <w:r w:rsidR="002F3F9A">
        <w:rPr>
          <w:lang w:val="en-GB"/>
        </w:rPr>
        <w:t>m</w:t>
      </w:r>
      <w:r w:rsidRPr="00C454BA">
        <w:rPr>
          <w:lang w:val="en-GB"/>
        </w:rPr>
        <w:t>. However, these pointing scenarios should be avoidable in practice, and for more realistic pointing scenarios, the interference can be mitigated through a combination of geographic separation and frequency separation.</w:t>
      </w:r>
      <w:r w:rsidR="00AD72AE" w:rsidRPr="00C454BA">
        <w:rPr>
          <w:lang w:val="en-GB"/>
        </w:rPr>
        <w:t xml:space="preserve"> </w:t>
      </w:r>
      <w:r w:rsidRPr="00C454BA">
        <w:rPr>
          <w:lang w:val="en-GB"/>
        </w:rPr>
        <w:t>For these cases, the separation distance between macro base stations and FS receive stations is on the order of a few kilometres coupled with a frequency separation of about one or two channel bandwidths, depending on the distance separation. It is important to note that the frequency separation results reflect channel centre-to-channel centre separations and not guard bands, which are usually expressed as channel edge-to-channel edge. It should also be noted that operators decide where to deploy IMT base stations based on a variety of factors including minimizing interference near international borders in accordance with regulations.</w:t>
      </w:r>
    </w:p>
    <w:p w:rsidR="000E0A27" w:rsidRPr="00C454BA" w:rsidRDefault="000E0A27" w:rsidP="000E0A27">
      <w:pPr>
        <w:rPr>
          <w:lang w:val="en-GB"/>
        </w:rPr>
      </w:pPr>
      <w:r w:rsidRPr="00C454BA">
        <w:rPr>
          <w:lang w:val="en-GB"/>
        </w:rPr>
        <w:t>The required geographic and frequency separations are significantly reduced for the small cell indoor base station deployment scenario. For this case, the separation distance between small cell base stations and FS receive stations is on the order of one kilometre coupled with a frequency separation of about one channel bandwidth or a few kilometres with no frequency separation, depending on the relative pointing directions of the IMT and FS stations.</w:t>
      </w:r>
    </w:p>
    <w:p w:rsidR="000E0A27" w:rsidRPr="00C454BA" w:rsidRDefault="000E0A27" w:rsidP="000E0A27">
      <w:pPr>
        <w:rPr>
          <w:lang w:val="en-GB"/>
        </w:rPr>
      </w:pPr>
      <w:r w:rsidRPr="00C454BA">
        <w:rPr>
          <w:lang w:val="en-GB"/>
        </w:rPr>
        <w:lastRenderedPageBreak/>
        <w:t>These results also show that the interference from the IMT UE is relatively low. This interference can be mitigated by either a frequency separation of about one channel or a geographic separation of a few kilometres.</w:t>
      </w:r>
    </w:p>
    <w:p w:rsidR="000E0A27" w:rsidRPr="00C454BA" w:rsidRDefault="000E0A27" w:rsidP="000E0A27">
      <w:pPr>
        <w:rPr>
          <w:lang w:val="en-GB"/>
        </w:rPr>
      </w:pPr>
      <w:r w:rsidRPr="00C454BA">
        <w:rPr>
          <w:lang w:val="en-GB"/>
        </w:rPr>
        <w:t>It should be noted that certain assumptions such as FS receive station placement and direction, use of propagation model, etc. overestimate interference from the IMT network.</w:t>
      </w:r>
    </w:p>
    <w:p w:rsidR="000E0A27" w:rsidRPr="00C454BA" w:rsidRDefault="000E0A27" w:rsidP="000E0A27">
      <w:pPr>
        <w:rPr>
          <w:lang w:val="en-GB"/>
        </w:rPr>
      </w:pPr>
    </w:p>
    <w:p w:rsidR="00455AD4" w:rsidRPr="00C454BA" w:rsidRDefault="00455AD4" w:rsidP="00E64E82">
      <w:pPr>
        <w:jc w:val="center"/>
        <w:rPr>
          <w:lang w:val="en-GB"/>
        </w:rPr>
      </w:pPr>
      <w:r w:rsidRPr="00C454BA">
        <w:rPr>
          <w:lang w:val="en-GB"/>
        </w:rPr>
        <w:t>______________</w:t>
      </w:r>
    </w:p>
    <w:sectPr w:rsidR="00455AD4" w:rsidRPr="00C454BA" w:rsidSect="00F178D0">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CA0" w:rsidRDefault="008B7CA0">
      <w:r>
        <w:separator/>
      </w:r>
    </w:p>
  </w:endnote>
  <w:endnote w:type="continuationSeparator" w:id="0">
    <w:p w:rsidR="008B7CA0" w:rsidRDefault="008B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CA0" w:rsidRDefault="008B7CA0">
      <w:r>
        <w:separator/>
      </w:r>
    </w:p>
  </w:footnote>
  <w:footnote w:type="continuationSeparator" w:id="0">
    <w:p w:rsidR="008B7CA0" w:rsidRDefault="008B7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Pr="005A7013" w:rsidRDefault="008B7CA0" w:rsidP="008B7CA0">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3F5F84" w:rsidRPr="003F5F84">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3F5F84">
      <w:rPr>
        <w:b/>
        <w:bCs/>
        <w:noProof/>
      </w:rPr>
      <w:t>ITU-R  F.2328-0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Default="008B7CA0" w:rsidP="008B7CA0">
    <w:pPr>
      <w:pStyle w:val="Header"/>
      <w:ind w:right="360" w:firstLine="360"/>
    </w:pPr>
    <w:r>
      <w:rPr>
        <w:noProof/>
        <w:lang w:val="en-US" w:eastAsia="zh-CN"/>
      </w:rPr>
      <w:drawing>
        <wp:anchor distT="0" distB="0" distL="114300" distR="114300" simplePos="0" relativeHeight="251660288" behindDoc="0" locked="0" layoutInCell="1" allowOverlap="1" wp14:anchorId="17D07114" wp14:editId="328ED5D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CAEA78C" wp14:editId="435E64C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Pr="006B6EA4" w:rsidRDefault="008B7CA0" w:rsidP="008B7CA0">
    <w:pPr>
      <w:pStyle w:val="Header"/>
      <w:jc w:val="both"/>
      <w:rPr>
        <w:lang w:val="fr-CH"/>
      </w:rPr>
    </w:pPr>
    <w:r w:rsidRPr="007F1BCA">
      <w:rPr>
        <w:b/>
        <w:bCs/>
      </w:rPr>
      <w:fldChar w:fldCharType="begin"/>
    </w:r>
    <w:r w:rsidRPr="006B6EA4">
      <w:rPr>
        <w:b/>
        <w:bCs/>
        <w:lang w:val="fr-CH"/>
      </w:rPr>
      <w:instrText xml:space="preserve"> PAGE </w:instrText>
    </w:r>
    <w:r w:rsidRPr="007F1BCA">
      <w:rPr>
        <w:b/>
        <w:bCs/>
      </w:rPr>
      <w:fldChar w:fldCharType="separate"/>
    </w:r>
    <w:r w:rsidR="003F5F84">
      <w:rPr>
        <w:b/>
        <w:bCs/>
        <w:noProof/>
        <w:lang w:val="fr-CH"/>
      </w:rPr>
      <w:t>ii</w:t>
    </w:r>
    <w:r w:rsidRPr="007F1BCA">
      <w:fldChar w:fldCharType="end"/>
    </w:r>
    <w:r w:rsidRPr="006B6EA4">
      <w:rPr>
        <w:lang w:val="fr-CH"/>
      </w:rPr>
      <w:tab/>
    </w:r>
    <w:fldSimple w:instr=" DOCPROPERTY &quot;Header 2&quot; \* MERGEFORMAT ">
      <w:r w:rsidR="003F5F84" w:rsidRPr="003F5F8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F5F84">
      <w:rPr>
        <w:b/>
        <w:bCs/>
        <w:noProof/>
      </w:rPr>
      <w:t>ITU-R  F.2328-0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Default="008B7CA0">
    <w:pPr>
      <w:pStyle w:val="Header"/>
    </w:pPr>
    <w:r>
      <w:tab/>
    </w:r>
    <w:fldSimple w:instr=" DOCPROPERTY &quot;Header&quot; \* MERGEFORMAT ">
      <w:r w:rsidR="003F5F84" w:rsidRPr="003F5F8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5F84">
      <w:rPr>
        <w:b/>
        <w:bCs/>
        <w:noProof/>
      </w:rPr>
      <w:t>ITU-R  F.2328-0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Default="008B7CA0" w:rsidP="001374C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5F84">
      <w:rPr>
        <w:rStyle w:val="PageNumber"/>
        <w:b/>
        <w:bCs/>
        <w:noProof/>
        <w:lang w:val="en-US"/>
      </w:rPr>
      <w:t>14</w:t>
    </w:r>
    <w:r>
      <w:rPr>
        <w:rStyle w:val="PageNumber"/>
        <w:b/>
        <w:bCs/>
      </w:rPr>
      <w:fldChar w:fldCharType="end"/>
    </w:r>
    <w:r>
      <w:rPr>
        <w:lang w:val="en-US"/>
      </w:rPr>
      <w:tab/>
    </w:r>
    <w:fldSimple w:instr=" DOCPROPERTY &quot;Header 2&quot; \* MERGEFORMAT ">
      <w:r w:rsidR="003F5F84" w:rsidRPr="003F5F8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F5F84">
      <w:rPr>
        <w:b/>
        <w:bCs/>
        <w:noProof/>
      </w:rPr>
      <w:t>ITU-R  F.2328-0</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Pr="00C00883" w:rsidRDefault="008B7CA0" w:rsidP="00E709EB">
    <w:pPr>
      <w:pStyle w:val="Header"/>
    </w:pPr>
    <w:r w:rsidRPr="00C00883">
      <w:rPr>
        <w:lang w:val="en-US"/>
      </w:rPr>
      <w:tab/>
    </w:r>
    <w:fldSimple w:instr=" DOCPROPERTY &quot;Header 2&quot; \* MERGEFORMAT ">
      <w:r w:rsidR="003F5F84" w:rsidRPr="003F5F8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F5F84">
      <w:rPr>
        <w:b/>
        <w:bCs/>
        <w:noProof/>
      </w:rPr>
      <w:t>ITU-R  F.2328-0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3F5F84">
      <w:rPr>
        <w:b/>
        <w:bCs/>
        <w:noProof/>
        <w:lang w:val="en-US"/>
      </w:rPr>
      <w:t>15</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64CEB9E"/>
    <w:lvl w:ilvl="0">
      <w:start w:val="1"/>
      <w:numFmt w:val="decimal"/>
      <w:lvlText w:val="%1."/>
      <w:lvlJc w:val="left"/>
      <w:pPr>
        <w:tabs>
          <w:tab w:val="num" w:pos="1492"/>
        </w:tabs>
        <w:ind w:left="1492" w:hanging="360"/>
      </w:pPr>
    </w:lvl>
  </w:abstractNum>
  <w:abstractNum w:abstractNumId="1">
    <w:nsid w:val="FFFFFF7D"/>
    <w:multiLevelType w:val="singleLevel"/>
    <w:tmpl w:val="187EDCBC"/>
    <w:lvl w:ilvl="0">
      <w:start w:val="1"/>
      <w:numFmt w:val="decimal"/>
      <w:lvlText w:val="%1."/>
      <w:lvlJc w:val="left"/>
      <w:pPr>
        <w:tabs>
          <w:tab w:val="num" w:pos="1209"/>
        </w:tabs>
        <w:ind w:left="1209" w:hanging="360"/>
      </w:pPr>
    </w:lvl>
  </w:abstractNum>
  <w:abstractNum w:abstractNumId="2">
    <w:nsid w:val="FFFFFF7E"/>
    <w:multiLevelType w:val="singleLevel"/>
    <w:tmpl w:val="8A14C0DA"/>
    <w:lvl w:ilvl="0">
      <w:start w:val="1"/>
      <w:numFmt w:val="decimal"/>
      <w:lvlText w:val="%1."/>
      <w:lvlJc w:val="left"/>
      <w:pPr>
        <w:tabs>
          <w:tab w:val="num" w:pos="926"/>
        </w:tabs>
        <w:ind w:left="926" w:hanging="360"/>
      </w:pPr>
    </w:lvl>
  </w:abstractNum>
  <w:abstractNum w:abstractNumId="3">
    <w:nsid w:val="FFFFFF7F"/>
    <w:multiLevelType w:val="singleLevel"/>
    <w:tmpl w:val="E1B46198"/>
    <w:lvl w:ilvl="0">
      <w:start w:val="1"/>
      <w:numFmt w:val="decimal"/>
      <w:lvlText w:val="%1."/>
      <w:lvlJc w:val="left"/>
      <w:pPr>
        <w:tabs>
          <w:tab w:val="num" w:pos="643"/>
        </w:tabs>
        <w:ind w:left="643" w:hanging="360"/>
      </w:pPr>
    </w:lvl>
  </w:abstractNum>
  <w:abstractNum w:abstractNumId="4">
    <w:nsid w:val="FFFFFF80"/>
    <w:multiLevelType w:val="singleLevel"/>
    <w:tmpl w:val="B9B29A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72F2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7420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0A2F5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5ECE82"/>
    <w:lvl w:ilvl="0">
      <w:start w:val="1"/>
      <w:numFmt w:val="decimal"/>
      <w:lvlText w:val="%1."/>
      <w:lvlJc w:val="left"/>
      <w:pPr>
        <w:tabs>
          <w:tab w:val="num" w:pos="360"/>
        </w:tabs>
        <w:ind w:left="360" w:hanging="360"/>
      </w:pPr>
    </w:lvl>
  </w:abstractNum>
  <w:abstractNum w:abstractNumId="9">
    <w:nsid w:val="FFFFFF89"/>
    <w:multiLevelType w:val="singleLevel"/>
    <w:tmpl w:val="1186B22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A27"/>
    <w:rsid w:val="00017FA2"/>
    <w:rsid w:val="00057153"/>
    <w:rsid w:val="00061FA0"/>
    <w:rsid w:val="000B41E4"/>
    <w:rsid w:val="000E0A27"/>
    <w:rsid w:val="001374CE"/>
    <w:rsid w:val="00152009"/>
    <w:rsid w:val="002055EC"/>
    <w:rsid w:val="00217EBF"/>
    <w:rsid w:val="00242AEE"/>
    <w:rsid w:val="0029242F"/>
    <w:rsid w:val="002D76C4"/>
    <w:rsid w:val="002F3F9A"/>
    <w:rsid w:val="00304C21"/>
    <w:rsid w:val="003304D7"/>
    <w:rsid w:val="003F5F84"/>
    <w:rsid w:val="00415D78"/>
    <w:rsid w:val="0042161C"/>
    <w:rsid w:val="00455AD4"/>
    <w:rsid w:val="0052529D"/>
    <w:rsid w:val="00526E32"/>
    <w:rsid w:val="00545FAC"/>
    <w:rsid w:val="00546E87"/>
    <w:rsid w:val="0055215A"/>
    <w:rsid w:val="005B2BDD"/>
    <w:rsid w:val="00607D68"/>
    <w:rsid w:val="006211FE"/>
    <w:rsid w:val="007468DA"/>
    <w:rsid w:val="00776560"/>
    <w:rsid w:val="007F4EA6"/>
    <w:rsid w:val="008A7FE5"/>
    <w:rsid w:val="008B7CA0"/>
    <w:rsid w:val="00933502"/>
    <w:rsid w:val="009E00A8"/>
    <w:rsid w:val="009E210F"/>
    <w:rsid w:val="00A350D7"/>
    <w:rsid w:val="00A6617B"/>
    <w:rsid w:val="00A7712D"/>
    <w:rsid w:val="00AB0DC8"/>
    <w:rsid w:val="00AD72AE"/>
    <w:rsid w:val="00B44E24"/>
    <w:rsid w:val="00B54C1A"/>
    <w:rsid w:val="00B63804"/>
    <w:rsid w:val="00BB1D43"/>
    <w:rsid w:val="00BD35EB"/>
    <w:rsid w:val="00BE3828"/>
    <w:rsid w:val="00BF79DE"/>
    <w:rsid w:val="00C454BA"/>
    <w:rsid w:val="00CA64BF"/>
    <w:rsid w:val="00D16858"/>
    <w:rsid w:val="00D66011"/>
    <w:rsid w:val="00D70828"/>
    <w:rsid w:val="00DF4176"/>
    <w:rsid w:val="00E64E82"/>
    <w:rsid w:val="00E709EB"/>
    <w:rsid w:val="00E843E0"/>
    <w:rsid w:val="00F051B0"/>
    <w:rsid w:val="00F178D0"/>
    <w:rsid w:val="00F25001"/>
    <w:rsid w:val="00F32779"/>
    <w:rsid w:val="00FB16E3"/>
    <w:rsid w:val="00FD62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69190A27-9899-45BC-830B-A90276E73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5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76560"/>
    <w:pPr>
      <w:keepNext/>
      <w:keepLines/>
      <w:spacing w:before="480"/>
      <w:ind w:left="794" w:hanging="794"/>
      <w:outlineLvl w:val="0"/>
    </w:pPr>
    <w:rPr>
      <w:b/>
    </w:rPr>
  </w:style>
  <w:style w:type="paragraph" w:styleId="Heading2">
    <w:name w:val="heading 2"/>
    <w:basedOn w:val="Heading1"/>
    <w:next w:val="Normal"/>
    <w:qFormat/>
    <w:rsid w:val="00776560"/>
    <w:pPr>
      <w:spacing w:before="320"/>
      <w:outlineLvl w:val="1"/>
    </w:pPr>
  </w:style>
  <w:style w:type="paragraph" w:styleId="Heading3">
    <w:name w:val="heading 3"/>
    <w:basedOn w:val="Heading1"/>
    <w:next w:val="Normal"/>
    <w:qFormat/>
    <w:rsid w:val="00776560"/>
    <w:pPr>
      <w:spacing w:before="200"/>
      <w:outlineLvl w:val="2"/>
    </w:pPr>
  </w:style>
  <w:style w:type="paragraph" w:styleId="Heading4">
    <w:name w:val="heading 4"/>
    <w:basedOn w:val="Heading3"/>
    <w:next w:val="Normal"/>
    <w:qFormat/>
    <w:rsid w:val="00776560"/>
    <w:pPr>
      <w:tabs>
        <w:tab w:val="clear" w:pos="794"/>
        <w:tab w:val="left" w:pos="992"/>
      </w:tabs>
      <w:ind w:left="992" w:hanging="992"/>
      <w:outlineLvl w:val="3"/>
    </w:pPr>
  </w:style>
  <w:style w:type="paragraph" w:styleId="Heading5">
    <w:name w:val="heading 5"/>
    <w:basedOn w:val="Heading4"/>
    <w:next w:val="Normal"/>
    <w:qFormat/>
    <w:rsid w:val="00776560"/>
    <w:pPr>
      <w:outlineLvl w:val="4"/>
    </w:pPr>
  </w:style>
  <w:style w:type="paragraph" w:styleId="Heading6">
    <w:name w:val="heading 6"/>
    <w:basedOn w:val="Heading4"/>
    <w:next w:val="Normal"/>
    <w:qFormat/>
    <w:rsid w:val="00776560"/>
    <w:pPr>
      <w:tabs>
        <w:tab w:val="clear" w:pos="992"/>
        <w:tab w:val="clear" w:pos="1191"/>
      </w:tabs>
      <w:ind w:left="1588" w:hanging="1588"/>
      <w:outlineLvl w:val="5"/>
    </w:pPr>
  </w:style>
  <w:style w:type="paragraph" w:styleId="Heading7">
    <w:name w:val="heading 7"/>
    <w:basedOn w:val="Heading6"/>
    <w:next w:val="Normal"/>
    <w:qFormat/>
    <w:rsid w:val="00776560"/>
    <w:pPr>
      <w:outlineLvl w:val="6"/>
    </w:pPr>
  </w:style>
  <w:style w:type="paragraph" w:styleId="Heading8">
    <w:name w:val="heading 8"/>
    <w:basedOn w:val="Heading6"/>
    <w:next w:val="Normal"/>
    <w:qFormat/>
    <w:rsid w:val="00776560"/>
    <w:pPr>
      <w:outlineLvl w:val="7"/>
    </w:pPr>
  </w:style>
  <w:style w:type="paragraph" w:styleId="Heading9">
    <w:name w:val="heading 9"/>
    <w:basedOn w:val="Heading6"/>
    <w:next w:val="Normal"/>
    <w:qFormat/>
    <w:rsid w:val="0077656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7656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7656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6560"/>
  </w:style>
  <w:style w:type="paragraph" w:customStyle="1" w:styleId="Headingb">
    <w:name w:val="Heading_b"/>
    <w:basedOn w:val="Heading3"/>
    <w:next w:val="Normal"/>
    <w:link w:val="HeadingbChar"/>
    <w:rsid w:val="00776560"/>
    <w:pPr>
      <w:spacing w:before="160"/>
      <w:ind w:left="0" w:firstLine="0"/>
      <w:outlineLvl w:val="9"/>
    </w:pPr>
  </w:style>
  <w:style w:type="paragraph" w:customStyle="1" w:styleId="Headingi">
    <w:name w:val="Heading_i"/>
    <w:basedOn w:val="Heading3"/>
    <w:next w:val="Normal"/>
    <w:rsid w:val="00776560"/>
    <w:pPr>
      <w:spacing w:before="160"/>
      <w:ind w:left="0" w:firstLine="0"/>
    </w:pPr>
    <w:rPr>
      <w:b w:val="0"/>
      <w:i/>
    </w:rPr>
  </w:style>
  <w:style w:type="character" w:customStyle="1" w:styleId="href">
    <w:name w:val="href"/>
    <w:basedOn w:val="DefaultParagraphFont"/>
    <w:rsid w:val="00776560"/>
  </w:style>
  <w:style w:type="paragraph" w:customStyle="1" w:styleId="enumlev1">
    <w:name w:val="enumlev1"/>
    <w:basedOn w:val="Normal"/>
    <w:link w:val="enumlev1Char"/>
    <w:rsid w:val="00776560"/>
    <w:pPr>
      <w:spacing w:before="80"/>
      <w:ind w:left="794" w:hanging="794"/>
    </w:pPr>
  </w:style>
  <w:style w:type="paragraph" w:customStyle="1" w:styleId="enumlev2">
    <w:name w:val="enumlev2"/>
    <w:basedOn w:val="enumlev1"/>
    <w:rsid w:val="00776560"/>
    <w:pPr>
      <w:ind w:left="1191" w:hanging="397"/>
    </w:pPr>
  </w:style>
  <w:style w:type="paragraph" w:customStyle="1" w:styleId="enumlev3">
    <w:name w:val="enumlev3"/>
    <w:basedOn w:val="enumlev2"/>
    <w:rsid w:val="00776560"/>
    <w:pPr>
      <w:ind w:left="1588"/>
    </w:pPr>
  </w:style>
  <w:style w:type="paragraph" w:customStyle="1" w:styleId="Normalaftertitle">
    <w:name w:val="Normal_after_title"/>
    <w:basedOn w:val="Normal"/>
    <w:next w:val="Normal"/>
    <w:rsid w:val="00776560"/>
    <w:pPr>
      <w:spacing w:before="320"/>
    </w:pPr>
  </w:style>
  <w:style w:type="paragraph" w:customStyle="1" w:styleId="Note">
    <w:name w:val="Note"/>
    <w:basedOn w:val="Normal"/>
    <w:rsid w:val="0077656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7656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6560"/>
    <w:pPr>
      <w:spacing w:before="240"/>
    </w:pPr>
    <w:rPr>
      <w:sz w:val="22"/>
      <w:lang w:val="es-ES_tradnl"/>
    </w:rPr>
  </w:style>
  <w:style w:type="paragraph" w:customStyle="1" w:styleId="Recref">
    <w:name w:val="Rec_ref"/>
    <w:basedOn w:val="Normal"/>
    <w:next w:val="Recdate"/>
    <w:rsid w:val="00776560"/>
    <w:pPr>
      <w:jc w:val="center"/>
    </w:pPr>
  </w:style>
  <w:style w:type="paragraph" w:customStyle="1" w:styleId="Recdate">
    <w:name w:val="Rec_date"/>
    <w:basedOn w:val="Recref"/>
    <w:next w:val="Normalaftertitle"/>
    <w:rsid w:val="00776560"/>
    <w:pPr>
      <w:jc w:val="right"/>
    </w:pPr>
  </w:style>
  <w:style w:type="paragraph" w:customStyle="1" w:styleId="AnnexNoTitle">
    <w:name w:val="Annex_NoTitle"/>
    <w:basedOn w:val="Normal"/>
    <w:next w:val="Normalaftertitle"/>
    <w:rsid w:val="00776560"/>
    <w:pPr>
      <w:keepNext/>
      <w:keepLines/>
      <w:spacing w:before="480" w:after="80"/>
      <w:jc w:val="center"/>
    </w:pPr>
    <w:rPr>
      <w:b/>
      <w:sz w:val="28"/>
    </w:rPr>
  </w:style>
  <w:style w:type="paragraph" w:customStyle="1" w:styleId="AppendixNoTitle">
    <w:name w:val="Appendix_NoTitle"/>
    <w:basedOn w:val="AnnexNoTitle"/>
    <w:next w:val="Normal"/>
    <w:rsid w:val="00776560"/>
  </w:style>
  <w:style w:type="paragraph" w:customStyle="1" w:styleId="Tablefin">
    <w:name w:val="Table_fin"/>
    <w:basedOn w:val="Normal"/>
    <w:next w:val="Normal"/>
    <w:rsid w:val="00776560"/>
    <w:pPr>
      <w:spacing w:before="0"/>
    </w:pPr>
    <w:rPr>
      <w:sz w:val="20"/>
      <w:lang w:val="en-GB"/>
    </w:rPr>
  </w:style>
  <w:style w:type="paragraph" w:customStyle="1" w:styleId="Tablehead">
    <w:name w:val="Table_head"/>
    <w:basedOn w:val="Normal"/>
    <w:next w:val="Normal"/>
    <w:link w:val="TableheadChar"/>
    <w:rsid w:val="0077656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765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76560"/>
    <w:pPr>
      <w:keepNext/>
      <w:spacing w:before="360" w:after="120"/>
      <w:jc w:val="center"/>
    </w:pPr>
  </w:style>
  <w:style w:type="paragraph" w:customStyle="1" w:styleId="Tabletext">
    <w:name w:val="Table_text"/>
    <w:basedOn w:val="Normal"/>
    <w:link w:val="TabletextChar"/>
    <w:rsid w:val="007765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7656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7656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76560"/>
    <w:pPr>
      <w:ind w:left="794"/>
    </w:pPr>
  </w:style>
  <w:style w:type="paragraph" w:customStyle="1" w:styleId="Figurelegend">
    <w:name w:val="Figure_legend"/>
    <w:basedOn w:val="Normal"/>
    <w:rsid w:val="0077656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76560"/>
    <w:pPr>
      <w:keepNext/>
      <w:keepLines/>
      <w:spacing w:before="480" w:after="80"/>
      <w:jc w:val="center"/>
    </w:pPr>
    <w:rPr>
      <w:caps/>
      <w:sz w:val="18"/>
    </w:rPr>
  </w:style>
  <w:style w:type="paragraph" w:customStyle="1" w:styleId="tocpart">
    <w:name w:val="tocpart"/>
    <w:basedOn w:val="Normal"/>
    <w:rsid w:val="0077656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76560"/>
    <w:pPr>
      <w:keepNext/>
      <w:keepLines/>
      <w:spacing w:before="480"/>
      <w:jc w:val="center"/>
    </w:pPr>
    <w:rPr>
      <w:sz w:val="28"/>
    </w:rPr>
  </w:style>
  <w:style w:type="paragraph" w:customStyle="1" w:styleId="Arttitle">
    <w:name w:val="Art_title"/>
    <w:basedOn w:val="Normal"/>
    <w:next w:val="Normalaftertitle"/>
    <w:rsid w:val="00776560"/>
    <w:pPr>
      <w:keepNext/>
      <w:keepLines/>
      <w:spacing w:before="240"/>
      <w:jc w:val="center"/>
    </w:pPr>
    <w:rPr>
      <w:b/>
      <w:sz w:val="28"/>
    </w:rPr>
  </w:style>
  <w:style w:type="paragraph" w:customStyle="1" w:styleId="Blanc">
    <w:name w:val="Blanc"/>
    <w:basedOn w:val="Normal"/>
    <w:next w:val="Tabletext"/>
    <w:rsid w:val="0077656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7656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76560"/>
    <w:pPr>
      <w:keepNext/>
      <w:keepLines/>
      <w:spacing w:before="160"/>
      <w:ind w:left="794"/>
    </w:pPr>
    <w:rPr>
      <w:i/>
    </w:rPr>
  </w:style>
  <w:style w:type="paragraph" w:customStyle="1" w:styleId="ChapNo">
    <w:name w:val="Chap_No"/>
    <w:basedOn w:val="ArtNo"/>
    <w:next w:val="Chaptitle"/>
    <w:rsid w:val="00776560"/>
    <w:rPr>
      <w:b/>
    </w:rPr>
  </w:style>
  <w:style w:type="paragraph" w:customStyle="1" w:styleId="Chaptitle">
    <w:name w:val="Chap_title"/>
    <w:basedOn w:val="Arttitle"/>
    <w:next w:val="Normalaftertitle"/>
    <w:rsid w:val="00776560"/>
  </w:style>
  <w:style w:type="character" w:styleId="FootnoteReference">
    <w:name w:val="footnote reference"/>
    <w:basedOn w:val="DefaultParagraphFont"/>
    <w:semiHidden/>
    <w:rsid w:val="00776560"/>
    <w:rPr>
      <w:position w:val="6"/>
      <w:sz w:val="18"/>
    </w:rPr>
  </w:style>
  <w:style w:type="paragraph" w:styleId="FootnoteText">
    <w:name w:val="footnote text"/>
    <w:basedOn w:val="Normal"/>
    <w:semiHidden/>
    <w:rsid w:val="00776560"/>
    <w:pPr>
      <w:keepLines/>
      <w:tabs>
        <w:tab w:val="left" w:pos="255"/>
      </w:tabs>
      <w:ind w:left="255" w:hanging="255"/>
    </w:pPr>
    <w:rPr>
      <w:sz w:val="22"/>
    </w:rPr>
  </w:style>
  <w:style w:type="paragraph" w:styleId="Index1">
    <w:name w:val="index 1"/>
    <w:basedOn w:val="Normal"/>
    <w:next w:val="Normal"/>
    <w:semiHidden/>
    <w:rsid w:val="00776560"/>
  </w:style>
  <w:style w:type="paragraph" w:styleId="Index2">
    <w:name w:val="index 2"/>
    <w:basedOn w:val="Normal"/>
    <w:next w:val="Normal"/>
    <w:semiHidden/>
    <w:rsid w:val="00776560"/>
    <w:pPr>
      <w:ind w:left="283"/>
    </w:pPr>
  </w:style>
  <w:style w:type="paragraph" w:styleId="Index3">
    <w:name w:val="index 3"/>
    <w:basedOn w:val="Normal"/>
    <w:next w:val="Normal"/>
    <w:semiHidden/>
    <w:rsid w:val="00776560"/>
    <w:pPr>
      <w:ind w:left="566"/>
    </w:pPr>
  </w:style>
  <w:style w:type="paragraph" w:styleId="IndexHeading">
    <w:name w:val="index heading"/>
    <w:basedOn w:val="Normal"/>
    <w:next w:val="Index1"/>
    <w:semiHidden/>
    <w:rsid w:val="00776560"/>
  </w:style>
  <w:style w:type="paragraph" w:customStyle="1" w:styleId="Line">
    <w:name w:val="Line"/>
    <w:basedOn w:val="Normal"/>
    <w:next w:val="Normal"/>
    <w:rsid w:val="0077656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7656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6560"/>
  </w:style>
  <w:style w:type="paragraph" w:customStyle="1" w:styleId="Partref">
    <w:name w:val="Part_ref"/>
    <w:basedOn w:val="Normal"/>
    <w:next w:val="Normal"/>
    <w:rsid w:val="00776560"/>
    <w:pPr>
      <w:keepNext/>
      <w:keepLines/>
      <w:spacing w:after="280"/>
      <w:jc w:val="center"/>
    </w:pPr>
  </w:style>
  <w:style w:type="paragraph" w:customStyle="1" w:styleId="Parttitle">
    <w:name w:val="Part_title"/>
    <w:basedOn w:val="Normal"/>
    <w:next w:val="Normalaftertitle"/>
    <w:rsid w:val="0077656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6560"/>
  </w:style>
  <w:style w:type="paragraph" w:customStyle="1" w:styleId="QuestionNo">
    <w:name w:val="Question_No"/>
    <w:basedOn w:val="RecNo"/>
    <w:next w:val="Normal"/>
    <w:rsid w:val="00776560"/>
  </w:style>
  <w:style w:type="paragraph" w:customStyle="1" w:styleId="Questionref">
    <w:name w:val="Question_ref"/>
    <w:basedOn w:val="Recref"/>
    <w:next w:val="Questiondate"/>
    <w:rsid w:val="00776560"/>
  </w:style>
  <w:style w:type="paragraph" w:customStyle="1" w:styleId="Questiontitle">
    <w:name w:val="Question_title"/>
    <w:basedOn w:val="Normal"/>
    <w:next w:val="Questionref"/>
    <w:rsid w:val="00776560"/>
  </w:style>
  <w:style w:type="paragraph" w:customStyle="1" w:styleId="Reftext">
    <w:name w:val="Ref_text"/>
    <w:basedOn w:val="Normal"/>
    <w:rsid w:val="00776560"/>
    <w:pPr>
      <w:ind w:left="794" w:hanging="794"/>
    </w:pPr>
    <w:rPr>
      <w:sz w:val="22"/>
    </w:rPr>
  </w:style>
  <w:style w:type="paragraph" w:customStyle="1" w:styleId="Reftitle">
    <w:name w:val="Ref_title"/>
    <w:basedOn w:val="Normal"/>
    <w:next w:val="Reftext"/>
    <w:rsid w:val="0077656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6560"/>
  </w:style>
  <w:style w:type="paragraph" w:customStyle="1" w:styleId="RepNo">
    <w:name w:val="Rep_No"/>
    <w:basedOn w:val="RecNo"/>
    <w:next w:val="Reptitle"/>
    <w:rsid w:val="00776560"/>
  </w:style>
  <w:style w:type="paragraph" w:customStyle="1" w:styleId="Repref">
    <w:name w:val="Rep_ref"/>
    <w:basedOn w:val="Recref"/>
    <w:next w:val="Repdate"/>
    <w:rsid w:val="00776560"/>
  </w:style>
  <w:style w:type="paragraph" w:customStyle="1" w:styleId="Reptitle">
    <w:name w:val="Rep_title"/>
    <w:basedOn w:val="Rectitle"/>
    <w:next w:val="Repref"/>
    <w:rsid w:val="00776560"/>
  </w:style>
  <w:style w:type="paragraph" w:customStyle="1" w:styleId="Resdate">
    <w:name w:val="Res_date"/>
    <w:basedOn w:val="Recdate"/>
    <w:next w:val="Normalaftertitle"/>
    <w:rsid w:val="00776560"/>
  </w:style>
  <w:style w:type="paragraph" w:customStyle="1" w:styleId="ResNo">
    <w:name w:val="Res_No"/>
    <w:basedOn w:val="RecNo"/>
    <w:next w:val="Restitle"/>
    <w:rsid w:val="00776560"/>
  </w:style>
  <w:style w:type="paragraph" w:customStyle="1" w:styleId="Resref">
    <w:name w:val="Res_ref"/>
    <w:basedOn w:val="Recref"/>
    <w:next w:val="Resdate"/>
    <w:rsid w:val="00776560"/>
  </w:style>
  <w:style w:type="paragraph" w:customStyle="1" w:styleId="Restitle">
    <w:name w:val="Res_title"/>
    <w:basedOn w:val="Normal"/>
    <w:next w:val="Resref"/>
    <w:rsid w:val="00776560"/>
    <w:pPr>
      <w:spacing w:before="240"/>
      <w:jc w:val="center"/>
    </w:pPr>
    <w:rPr>
      <w:b/>
      <w:sz w:val="28"/>
    </w:rPr>
  </w:style>
  <w:style w:type="paragraph" w:customStyle="1" w:styleId="SectionNo">
    <w:name w:val="Section_No"/>
    <w:basedOn w:val="Normal"/>
    <w:next w:val="Normal"/>
    <w:rsid w:val="00776560"/>
  </w:style>
  <w:style w:type="paragraph" w:customStyle="1" w:styleId="Sectiontitle">
    <w:name w:val="Section_title"/>
    <w:basedOn w:val="Normal"/>
    <w:next w:val="Normalaftertitle"/>
    <w:rsid w:val="0077656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6560"/>
    <w:pPr>
      <w:tabs>
        <w:tab w:val="clear" w:pos="794"/>
        <w:tab w:val="clear" w:pos="1191"/>
        <w:tab w:val="clear" w:pos="1588"/>
        <w:tab w:val="clear" w:pos="1985"/>
        <w:tab w:val="right" w:pos="9611"/>
      </w:tabs>
    </w:pPr>
    <w:rPr>
      <w:i/>
    </w:rPr>
  </w:style>
  <w:style w:type="paragraph" w:styleId="TOC1">
    <w:name w:val="toc 1"/>
    <w:basedOn w:val="Normal"/>
    <w:semiHidden/>
    <w:rsid w:val="0077656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76560"/>
    <w:pPr>
      <w:tabs>
        <w:tab w:val="clear" w:pos="567"/>
        <w:tab w:val="left" w:pos="1276"/>
      </w:tabs>
      <w:spacing w:before="160"/>
      <w:ind w:left="1276" w:hanging="709"/>
    </w:pPr>
  </w:style>
  <w:style w:type="paragraph" w:styleId="TOC3">
    <w:name w:val="toc 3"/>
    <w:basedOn w:val="TOC2"/>
    <w:semiHidden/>
    <w:rsid w:val="00776560"/>
    <w:pPr>
      <w:tabs>
        <w:tab w:val="clear" w:pos="1276"/>
        <w:tab w:val="left" w:pos="2155"/>
      </w:tabs>
      <w:ind w:left="2155" w:hanging="879"/>
    </w:pPr>
  </w:style>
  <w:style w:type="paragraph" w:styleId="TOC4">
    <w:name w:val="toc 4"/>
    <w:basedOn w:val="TOC3"/>
    <w:semiHidden/>
    <w:rsid w:val="00776560"/>
    <w:pPr>
      <w:tabs>
        <w:tab w:val="left" w:pos="3261"/>
      </w:tabs>
      <w:spacing w:before="80"/>
      <w:ind w:left="3261" w:hanging="993"/>
    </w:pPr>
  </w:style>
  <w:style w:type="paragraph" w:styleId="TOC5">
    <w:name w:val="toc 5"/>
    <w:basedOn w:val="TOC4"/>
    <w:semiHidden/>
    <w:rsid w:val="00776560"/>
  </w:style>
  <w:style w:type="paragraph" w:styleId="TOC6">
    <w:name w:val="toc 6"/>
    <w:basedOn w:val="TOC4"/>
    <w:semiHidden/>
    <w:rsid w:val="00776560"/>
  </w:style>
  <w:style w:type="paragraph" w:styleId="TOC7">
    <w:name w:val="toc 7"/>
    <w:basedOn w:val="TOC4"/>
    <w:semiHidden/>
    <w:rsid w:val="00776560"/>
  </w:style>
  <w:style w:type="paragraph" w:styleId="TOC8">
    <w:name w:val="toc 8"/>
    <w:basedOn w:val="TOC4"/>
    <w:semiHidden/>
    <w:rsid w:val="00776560"/>
  </w:style>
  <w:style w:type="paragraph" w:customStyle="1" w:styleId="Rectitle">
    <w:name w:val="Rec_title"/>
    <w:basedOn w:val="Normal"/>
    <w:next w:val="Recref"/>
    <w:rsid w:val="00776560"/>
    <w:pPr>
      <w:keepNext/>
      <w:keepLines/>
      <w:spacing w:before="240"/>
      <w:jc w:val="center"/>
    </w:pPr>
    <w:rPr>
      <w:b/>
      <w:sz w:val="28"/>
    </w:rPr>
  </w:style>
  <w:style w:type="paragraph" w:customStyle="1" w:styleId="Annexref">
    <w:name w:val="Annex_ref"/>
    <w:basedOn w:val="Normal"/>
    <w:next w:val="Normalaftertitle"/>
    <w:rsid w:val="00776560"/>
    <w:pPr>
      <w:keepNext/>
      <w:keepLines/>
      <w:spacing w:after="280"/>
      <w:jc w:val="center"/>
    </w:pPr>
  </w:style>
  <w:style w:type="paragraph" w:customStyle="1" w:styleId="Appendixref">
    <w:name w:val="Appendix_ref"/>
    <w:basedOn w:val="Annexref"/>
    <w:next w:val="Normalaftertitle"/>
    <w:rsid w:val="00776560"/>
  </w:style>
  <w:style w:type="paragraph" w:customStyle="1" w:styleId="Figuretitle">
    <w:name w:val="Figure_title"/>
    <w:basedOn w:val="Normal"/>
    <w:next w:val="Figure"/>
    <w:link w:val="FiguretitleChar"/>
    <w:rsid w:val="0077656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76560"/>
    <w:pPr>
      <w:keepNext/>
      <w:spacing w:before="0" w:after="120"/>
      <w:jc w:val="center"/>
    </w:pPr>
    <w:rPr>
      <w:b/>
    </w:rPr>
  </w:style>
  <w:style w:type="paragraph" w:customStyle="1" w:styleId="Summary">
    <w:name w:val="Summary"/>
    <w:basedOn w:val="Normal"/>
    <w:next w:val="Normalaftertitle"/>
    <w:autoRedefine/>
    <w:rsid w:val="00776560"/>
    <w:pPr>
      <w:spacing w:after="480"/>
    </w:pPr>
    <w:rPr>
      <w:sz w:val="22"/>
      <w:lang w:val="es-ES_tradnl"/>
    </w:rPr>
  </w:style>
  <w:style w:type="paragraph" w:customStyle="1" w:styleId="TableLegendNote">
    <w:name w:val="Table_Legend_Note"/>
    <w:basedOn w:val="Tablelegend"/>
    <w:next w:val="Tablelegend"/>
    <w:rsid w:val="00776560"/>
    <w:pPr>
      <w:ind w:left="-85" w:firstLine="0"/>
    </w:pPr>
    <w:rPr>
      <w:lang w:val="en-US"/>
    </w:rPr>
  </w:style>
  <w:style w:type="paragraph" w:customStyle="1" w:styleId="Figure">
    <w:name w:val="Figure"/>
    <w:basedOn w:val="FigureNo"/>
    <w:next w:val="Normal"/>
    <w:rsid w:val="00776560"/>
    <w:pPr>
      <w:keepNext w:val="0"/>
      <w:spacing w:before="0" w:after="240"/>
    </w:pPr>
  </w:style>
  <w:style w:type="character" w:styleId="Hyperlink">
    <w:name w:val="Hyperlink"/>
    <w:basedOn w:val="DefaultParagraphFont"/>
    <w:rsid w:val="000E0A27"/>
    <w:rPr>
      <w:color w:val="0000FF"/>
      <w:u w:val="single"/>
    </w:rPr>
  </w:style>
  <w:style w:type="paragraph" w:customStyle="1" w:styleId="Normalaftertitle0">
    <w:name w:val="Normal after title"/>
    <w:basedOn w:val="Normal"/>
    <w:next w:val="Normal"/>
    <w:link w:val="NormalaftertitleChar"/>
    <w:rsid w:val="000E0A27"/>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rsid w:val="000E0A27"/>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0E0A27"/>
    <w:rPr>
      <w:sz w:val="22"/>
      <w:lang w:val="fr-FR" w:eastAsia="en-US"/>
    </w:rPr>
  </w:style>
  <w:style w:type="character" w:customStyle="1" w:styleId="enumlev1Char">
    <w:name w:val="enumlev1 Char"/>
    <w:link w:val="enumlev1"/>
    <w:locked/>
    <w:rsid w:val="000E0A27"/>
    <w:rPr>
      <w:sz w:val="24"/>
      <w:lang w:val="fr-FR" w:eastAsia="en-US"/>
    </w:rPr>
  </w:style>
  <w:style w:type="character" w:customStyle="1" w:styleId="EquationlegendChar">
    <w:name w:val="Equation_legend Char"/>
    <w:link w:val="Equationlegend"/>
    <w:locked/>
    <w:rsid w:val="000E0A27"/>
    <w:rPr>
      <w:sz w:val="24"/>
      <w:lang w:eastAsia="en-US"/>
    </w:rPr>
  </w:style>
  <w:style w:type="character" w:customStyle="1" w:styleId="TabletitleChar">
    <w:name w:val="Table_title Char"/>
    <w:link w:val="Tabletitle"/>
    <w:locked/>
    <w:rsid w:val="000E0A27"/>
    <w:rPr>
      <w:b/>
      <w:sz w:val="24"/>
      <w:lang w:val="fr-FR" w:eastAsia="en-US"/>
    </w:rPr>
  </w:style>
  <w:style w:type="character" w:customStyle="1" w:styleId="FiguretitleChar">
    <w:name w:val="Figure_title Char"/>
    <w:link w:val="Figuretitle"/>
    <w:locked/>
    <w:rsid w:val="000E0A27"/>
    <w:rPr>
      <w:rFonts w:ascii="Times New Roman Bold" w:hAnsi="Times New Roman Bold"/>
      <w:b/>
      <w:sz w:val="18"/>
      <w:lang w:val="fr-FR" w:eastAsia="en-US"/>
    </w:rPr>
  </w:style>
  <w:style w:type="character" w:customStyle="1" w:styleId="FigureNoChar">
    <w:name w:val="Figure_No Char"/>
    <w:link w:val="FigureNo"/>
    <w:locked/>
    <w:rsid w:val="000E0A27"/>
    <w:rPr>
      <w:caps/>
      <w:sz w:val="18"/>
      <w:lang w:val="fr-FR" w:eastAsia="en-US"/>
    </w:rPr>
  </w:style>
  <w:style w:type="character" w:customStyle="1" w:styleId="TableNoChar">
    <w:name w:val="Table_No Char"/>
    <w:link w:val="TableNo"/>
    <w:locked/>
    <w:rsid w:val="000E0A27"/>
    <w:rPr>
      <w:sz w:val="24"/>
      <w:lang w:val="fr-FR" w:eastAsia="en-US"/>
    </w:rPr>
  </w:style>
  <w:style w:type="paragraph" w:customStyle="1" w:styleId="TableText0">
    <w:name w:val="TableText"/>
    <w:basedOn w:val="BodyTextIndent"/>
    <w:rsid w:val="000E0A27"/>
    <w:pPr>
      <w:keepNext/>
      <w:keepLines/>
      <w:tabs>
        <w:tab w:val="clear" w:pos="794"/>
        <w:tab w:val="clear" w:pos="1191"/>
        <w:tab w:val="clear" w:pos="1588"/>
        <w:tab w:val="clear" w:pos="1985"/>
      </w:tabs>
      <w:spacing w:before="0" w:after="180"/>
      <w:ind w:left="0"/>
      <w:jc w:val="center"/>
    </w:pPr>
    <w:rPr>
      <w:snapToGrid w:val="0"/>
      <w:kern w:val="2"/>
      <w:sz w:val="20"/>
      <w:lang w:val="en-GB"/>
    </w:rPr>
  </w:style>
  <w:style w:type="paragraph" w:customStyle="1" w:styleId="equation0">
    <w:name w:val="equation"/>
    <w:basedOn w:val="Normal"/>
    <w:rsid w:val="000E0A27"/>
    <w:pPr>
      <w:tabs>
        <w:tab w:val="clear" w:pos="794"/>
        <w:tab w:val="clear" w:pos="1191"/>
        <w:tab w:val="clear" w:pos="1588"/>
        <w:tab w:val="clear" w:pos="1985"/>
        <w:tab w:val="center" w:pos="4320"/>
        <w:tab w:val="right" w:pos="8640"/>
      </w:tabs>
      <w:overflowPunct/>
      <w:autoSpaceDE/>
      <w:autoSpaceDN/>
      <w:adjustRightInd/>
      <w:spacing w:before="240" w:after="240"/>
      <w:jc w:val="left"/>
      <w:textAlignment w:val="auto"/>
    </w:pPr>
    <w:rPr>
      <w:szCs w:val="24"/>
      <w:lang w:val="en-US"/>
    </w:rPr>
  </w:style>
  <w:style w:type="character" w:customStyle="1" w:styleId="TableheadChar">
    <w:name w:val="Table_head Char"/>
    <w:link w:val="Tablehead"/>
    <w:locked/>
    <w:rsid w:val="000E0A27"/>
    <w:rPr>
      <w:b/>
      <w:sz w:val="22"/>
      <w:lang w:val="fr-FR" w:eastAsia="en-US"/>
    </w:rPr>
  </w:style>
  <w:style w:type="character" w:customStyle="1" w:styleId="HeadingbChar">
    <w:name w:val="Heading_b Char"/>
    <w:link w:val="Headingb"/>
    <w:locked/>
    <w:rsid w:val="000E0A27"/>
    <w:rPr>
      <w:b/>
      <w:sz w:val="24"/>
      <w:lang w:val="fr-FR" w:eastAsia="en-US"/>
    </w:rPr>
  </w:style>
  <w:style w:type="character" w:customStyle="1" w:styleId="NormalaftertitleChar">
    <w:name w:val="Normal after title Char"/>
    <w:link w:val="Normalaftertitle0"/>
    <w:rsid w:val="000E0A27"/>
    <w:rPr>
      <w:sz w:val="24"/>
      <w:lang w:val="en-GB" w:eastAsia="en-US"/>
    </w:rPr>
  </w:style>
  <w:style w:type="paragraph" w:styleId="BodyTextIndent">
    <w:name w:val="Body Text Indent"/>
    <w:basedOn w:val="Normal"/>
    <w:link w:val="BodyTextIndentChar"/>
    <w:semiHidden/>
    <w:unhideWhenUsed/>
    <w:rsid w:val="000E0A27"/>
    <w:pPr>
      <w:spacing w:after="120"/>
      <w:ind w:left="283"/>
    </w:pPr>
  </w:style>
  <w:style w:type="character" w:customStyle="1" w:styleId="BodyTextIndentChar">
    <w:name w:val="Body Text Indent Char"/>
    <w:basedOn w:val="DefaultParagraphFont"/>
    <w:link w:val="BodyTextIndent"/>
    <w:semiHidden/>
    <w:rsid w:val="000E0A27"/>
    <w:rPr>
      <w:sz w:val="24"/>
      <w:lang w:val="fr-FR" w:eastAsia="en-US"/>
    </w:rPr>
  </w:style>
  <w:style w:type="paragraph" w:customStyle="1" w:styleId="Reasons">
    <w:name w:val="Reasons"/>
    <w:basedOn w:val="Normal"/>
    <w:qFormat/>
    <w:rsid w:val="00455AD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header" Target="header5.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itu.int/rec/R-REC-P.452/en" TargetMode="External"/><Relationship Id="rId23" Type="http://schemas.openxmlformats.org/officeDocument/2006/relationships/image" Target="media/image8.wmf"/><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oleObject" Target="embeddings/oleObject8.bin"/><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yperlink" Target="http://www.itu.int/pub/R-REP-M.2292" TargetMode="External"/><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oleObject" Target="embeddings/oleObject9.bin"/><Relationship Id="rId38" Type="http://schemas.openxmlformats.org/officeDocument/2006/relationships/image" Target="media/image15.emf"/><Relationship Id="rId46" Type="http://schemas.openxmlformats.org/officeDocument/2006/relationships/customXml" Target="../customXml/item3.xml"/><Relationship Id="rId20" Type="http://schemas.openxmlformats.org/officeDocument/2006/relationships/oleObject" Target="embeddings/oleObject3.bin"/><Relationship Id="rId41"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3400000000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olderTitle xmlns="59d7e714-8a8e-4e71-99ab-f9b344473ddb">Sharing and compatibility between international mobile telecommunication systems and fixed service systems in the 3 400-4 200 MHz frequency range</FolderTitle>
    <Fmax18 xmlns="59d7e714-8a8e-4e71-99ab-f9b344473ddb" xsi:nil="true"/>
    <Fmin11 xmlns="59d7e714-8a8e-4e71-99ab-f9b344473ddb" xsi:nil="true"/>
    <Fmax8 xmlns="59d7e714-8a8e-4e71-99ab-f9b344473ddb" xsi:nil="true"/>
    <TaxCatchAll xmlns="c8e4c242-ae33-46fb-9ee0-8d0fdd9916a5">
      <Value>66</Value>
      <Value>82</Value>
      <Value>81</Value>
      <Value>147</Value>
      <Value>110</Value>
      <Value>58</Value>
      <Value>56</Value>
      <Value>65</Value>
      <Value>116</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Info xmlns="http://schemas.microsoft.com/office/infopath/2007/PartnerControls">
          <TermName xmlns="http://schemas.microsoft.com/office/infopath/2007/PartnerControls">WP5D</TermName>
          <TermId xmlns="http://schemas.microsoft.com/office/infopath/2007/PartnerControls">2eef145d-df45-4325-898b-660d9995c3ef</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4200000000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e881b027-5533-4767-9fea-aa240f388901</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F.2328-0 (11/2014)</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Info xmlns="http://schemas.microsoft.com/office/infopath/2007/PartnerControls">
          <TermName xmlns="http://schemas.microsoft.com/office/infopath/2007/PartnerControls">IMT</TermName>
          <TermId xmlns="http://schemas.microsoft.com/office/infopath/2007/PartnerControls">9b39df78-d7c8-43d8-ac3f-1ee8029e1dfb</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FS</TermName>
          <TermId xmlns="http://schemas.microsoft.com/office/infopath/2007/PartnerControls">adf2e6e6-9560-4e63-9172-40a70d5d4526</TermId>
        </TermInfo>
        <TermInfo xmlns="http://schemas.microsoft.com/office/infopath/2007/PartnerControls">
          <TermName xmlns="http://schemas.microsoft.com/office/infopath/2007/PartnerControls">LMS</TermName>
          <TermId xmlns="http://schemas.microsoft.com/office/infopath/2007/PartnerControls">fc81f573-b7ef-4b77-92f9-7c98c9d8b989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DF46B37F-3021-4DD2-AAEE-B7639E9902F9}"/>
</file>

<file path=customXml/itemProps2.xml><?xml version="1.0" encoding="utf-8"?>
<ds:datastoreItem xmlns:ds="http://schemas.openxmlformats.org/officeDocument/2006/customXml" ds:itemID="{EFC43FD7-325A-44E3-BD95-7EBAB8E435D1}"/>
</file>

<file path=customXml/itemProps3.xml><?xml version="1.0" encoding="utf-8"?>
<ds:datastoreItem xmlns:ds="http://schemas.openxmlformats.org/officeDocument/2006/customXml" ds:itemID="{120885C0-6A9A-45A2-B2A7-63B5F7888EFF}"/>
</file>

<file path=docProps/app.xml><?xml version="1.0" encoding="utf-8"?>
<Properties xmlns="http://schemas.openxmlformats.org/officeDocument/2006/extended-properties" xmlns:vt="http://schemas.openxmlformats.org/officeDocument/2006/docPropsVTypes">
  <Template>BR_Rec_2005.dotm</Template>
  <TotalTime>142</TotalTime>
  <Pages>17</Pages>
  <Words>2995</Words>
  <Characters>18782</Characters>
  <Application>Microsoft Office Word</Application>
  <DocSecurity>0</DocSecurity>
  <Lines>782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and compatibility between international mobile telecommunication systems and fixed service systems in the 3 400-4 200 MHz frequency range</dc:title>
  <dc:subject/>
  <dc:creator>Martinez Romera, Angel</dc:creator>
  <cp:keywords/>
  <dc:description/>
  <cp:lastModifiedBy>Gachet, Christelle</cp:lastModifiedBy>
  <cp:revision>46</cp:revision>
  <cp:lastPrinted>2015-04-07T14:22:00Z</cp:lastPrinted>
  <dcterms:created xsi:type="dcterms:W3CDTF">2015-03-12T10:24:00Z</dcterms:created>
  <dcterms:modified xsi:type="dcterms:W3CDTF">2015-04-07T14:23:00Z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147;#2014|e881b027-5533-4767-9fea-aa240f388901</vt:lpwstr>
  </property>
  <property fmtid="{D5CDD505-2E9C-101B-9397-08002B2CF9AE}" pid="13" name="Services">
    <vt:lpwstr>58;#FS|adf2e6e6-9560-4e63-9172-40a70d5d4526;#65;#LMS|fc81f573-b7ef-4b77-92f9-7c98c9d8b989</vt:lpwstr>
  </property>
  <property fmtid="{D5CDD505-2E9C-101B-9397-08002B2CF9AE}" pid="14" name="Radio_category">
    <vt:lpwstr>56;#Sharing/compatibility issues|4da58874-15ee-4ab2-bcfd-4228b8529cb6;#82;#IMT|9b39df78-d7c8-43d8-ac3f-1ee8029e1dfb</vt:lpwstr>
  </property>
  <property fmtid="{D5CDD505-2E9C-101B-9397-08002B2CF9AE}" pid="15" name="Resp_WPs">
    <vt:lpwstr>66;#WP5C|c3bf612b-ef2d-4fba-b917-6d7cdbced992;#81;#WP5D|2eef145d-df45-4325-898b-660d9995c3ef</vt:lpwstr>
  </property>
  <property fmtid="{D5CDD505-2E9C-101B-9397-08002B2CF9AE}" pid="16" name="_docset_NoMedatataSyncRequired">
    <vt:lpwstr>False</vt:lpwstr>
  </property>
  <property fmtid="{D5CDD505-2E9C-101B-9397-08002B2CF9AE}" pid="17" name="Series">
    <vt:lpwstr>116;#F Series|94a580eb-cb3f-4d54-bc98-c0d46e15e51d</vt:lpwstr>
  </property>
</Properties>
</file>