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4.xml" ContentType="application/vnd.openxmlformats-officedocument.drawingml.chartshapes+xml"/>
  <Override PartName="/word/drawings/drawing3.xml" ContentType="application/vnd.openxmlformats-officedocument.drawingml.chartshapes+xml"/>
  <Override PartName="/word/drawings/drawing5.xml" ContentType="application/vnd.openxmlformats-officedocument.drawingml.chartshapes+xml"/>
  <Override PartName="/word/drawings/drawing7.xml" ContentType="application/vnd.openxmlformats-officedocument.drawingml.chartshapes+xml"/>
  <Override PartName="/word/drawings/drawing2.xml" ContentType="application/vnd.openxmlformats-officedocument.drawingml.chartshapes+xml"/>
  <Override PartName="/word/drawings/drawing6.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charts/chart13.xml" ContentType="application/vnd.openxmlformats-officedocument.drawingml.chart+xml"/>
  <Override PartName="/word/charts/chart15.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1.xml" ContentType="application/vnd.openxmlformats-officedocument.theme+xml"/>
  <Override PartName="/word/theme/themeOverride5.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DA7" w:rsidRPr="00AF5796" w:rsidRDefault="005D2DA7" w:rsidP="005D2DA7">
      <w:pPr>
        <w:rPr>
          <w:lang w:val="en-US"/>
        </w:rPr>
      </w:pPr>
      <w:bookmarkStart w:id="0" w:name="_GoBack"/>
      <w:bookmarkEnd w:id="0"/>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tbl>
      <w:tblPr>
        <w:tblW w:w="10089" w:type="dxa"/>
        <w:tblLook w:val="01E0" w:firstRow="1" w:lastRow="1" w:firstColumn="1" w:lastColumn="1" w:noHBand="0" w:noVBand="0"/>
      </w:tblPr>
      <w:tblGrid>
        <w:gridCol w:w="10089"/>
      </w:tblGrid>
      <w:tr w:rsidR="005D2DA7" w:rsidRPr="00AF5796" w:rsidTr="00D513B3">
        <w:tc>
          <w:tcPr>
            <w:tcW w:w="10089" w:type="dxa"/>
          </w:tcPr>
          <w:p w:rsidR="005D2DA7" w:rsidRPr="00AF5796" w:rsidRDefault="005D2DA7" w:rsidP="00D513B3">
            <w:pPr>
              <w:spacing w:before="380" w:line="280" w:lineRule="exact"/>
              <w:jc w:val="right"/>
              <w:rPr>
                <w:rFonts w:ascii="Tahoma" w:hAnsi="Tahoma" w:cs="Tahoma"/>
                <w:b/>
                <w:bCs/>
                <w:iCs/>
                <w:color w:val="509141"/>
                <w:sz w:val="32"/>
                <w:szCs w:val="32"/>
                <w:lang w:val="en-US"/>
              </w:rPr>
            </w:pPr>
            <w:r w:rsidRPr="00AF5796">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06410990" r:id="rId9"/>
              </w:object>
            </w:r>
          </w:p>
          <w:p w:rsidR="005D2DA7" w:rsidRPr="00AF5796" w:rsidRDefault="00324522" w:rsidP="00FE6075">
            <w:pPr>
              <w:spacing w:before="380" w:line="28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w:t>
            </w:r>
            <w:r w:rsidR="005D2DA7" w:rsidRPr="00AF5796">
              <w:rPr>
                <w:rFonts w:ascii="Tahoma" w:hAnsi="Tahoma" w:cs="Tahoma"/>
                <w:b/>
                <w:bCs/>
                <w:iCs/>
                <w:color w:val="509141"/>
                <w:sz w:val="36"/>
                <w:szCs w:val="36"/>
                <w:lang w:val="en-US"/>
              </w:rPr>
              <w:t>eport  ITU-R  M.</w:t>
            </w:r>
            <w:r w:rsidR="00FE6075" w:rsidRPr="00AF5796">
              <w:rPr>
                <w:rFonts w:ascii="Tahoma" w:hAnsi="Tahoma" w:cs="Tahoma"/>
                <w:b/>
                <w:bCs/>
                <w:iCs/>
                <w:color w:val="509141"/>
                <w:sz w:val="36"/>
                <w:szCs w:val="36"/>
                <w:lang w:val="en-US"/>
              </w:rPr>
              <w:t>2370-0</w:t>
            </w:r>
          </w:p>
          <w:p w:rsidR="005D2DA7" w:rsidRPr="00AF5796" w:rsidRDefault="005D2DA7" w:rsidP="00FE6075">
            <w:pPr>
              <w:spacing w:before="80" w:line="280" w:lineRule="exact"/>
              <w:jc w:val="right"/>
              <w:rPr>
                <w:rFonts w:ascii="Tahoma" w:hAnsi="Tahoma" w:cs="Tahoma"/>
                <w:iCs/>
                <w:color w:val="509141"/>
                <w:szCs w:val="24"/>
                <w:lang w:val="en-US"/>
              </w:rPr>
            </w:pPr>
            <w:r w:rsidRPr="00AF5796">
              <w:rPr>
                <w:rFonts w:ascii="Tahoma" w:hAnsi="Tahoma" w:cs="Tahoma"/>
                <w:b/>
                <w:bCs/>
                <w:iCs/>
                <w:color w:val="509141"/>
                <w:szCs w:val="24"/>
                <w:lang w:val="en-US"/>
              </w:rPr>
              <w:t>(</w:t>
            </w:r>
            <w:r w:rsidR="00FE6075" w:rsidRPr="00AF5796">
              <w:rPr>
                <w:rFonts w:ascii="Tahoma" w:hAnsi="Tahoma" w:cs="Tahoma"/>
                <w:b/>
                <w:bCs/>
                <w:iCs/>
                <w:color w:val="509141"/>
                <w:szCs w:val="24"/>
                <w:lang w:val="en-US"/>
              </w:rPr>
              <w:t>07</w:t>
            </w:r>
            <w:r w:rsidRPr="00AF5796">
              <w:rPr>
                <w:rFonts w:ascii="Tahoma" w:hAnsi="Tahoma" w:cs="Tahoma"/>
                <w:b/>
                <w:bCs/>
                <w:iCs/>
                <w:color w:val="509141"/>
                <w:szCs w:val="24"/>
                <w:lang w:val="en-US"/>
              </w:rPr>
              <w:t>/201</w:t>
            </w:r>
            <w:r w:rsidR="00FE6075" w:rsidRPr="00AF5796">
              <w:rPr>
                <w:rFonts w:ascii="Tahoma" w:hAnsi="Tahoma" w:cs="Tahoma"/>
                <w:b/>
                <w:bCs/>
                <w:iCs/>
                <w:color w:val="509141"/>
                <w:szCs w:val="24"/>
                <w:lang w:val="en-US"/>
              </w:rPr>
              <w:t>5</w:t>
            </w:r>
            <w:r w:rsidRPr="00AF5796">
              <w:rPr>
                <w:rFonts w:ascii="Tahoma" w:hAnsi="Tahoma" w:cs="Tahoma"/>
                <w:b/>
                <w:bCs/>
                <w:iCs/>
                <w:color w:val="509141"/>
                <w:szCs w:val="24"/>
                <w:lang w:val="en-US"/>
              </w:rPr>
              <w:t>)</w:t>
            </w:r>
          </w:p>
        </w:tc>
      </w:tr>
      <w:tr w:rsidR="005D2DA7" w:rsidRPr="00AF4361" w:rsidTr="00D513B3">
        <w:tc>
          <w:tcPr>
            <w:tcW w:w="10089" w:type="dxa"/>
          </w:tcPr>
          <w:p w:rsidR="005D2DA7" w:rsidRPr="00AF5796" w:rsidRDefault="005D2DA7" w:rsidP="00D513B3">
            <w:pPr>
              <w:spacing w:before="80" w:line="500" w:lineRule="exact"/>
              <w:jc w:val="right"/>
              <w:rPr>
                <w:rFonts w:ascii="Tahoma" w:hAnsi="Tahoma" w:cs="Tahoma"/>
                <w:b/>
                <w:bCs/>
                <w:iCs/>
                <w:color w:val="509141"/>
                <w:sz w:val="44"/>
                <w:szCs w:val="44"/>
                <w:lang w:val="en-US"/>
              </w:rPr>
            </w:pPr>
          </w:p>
          <w:p w:rsidR="005D2DA7" w:rsidRPr="00AF5796" w:rsidRDefault="00437FDF" w:rsidP="005D2DA7">
            <w:pPr>
              <w:spacing w:before="80" w:line="500" w:lineRule="exact"/>
              <w:jc w:val="right"/>
              <w:rPr>
                <w:rFonts w:ascii="Tahoma" w:hAnsi="Tahoma" w:cs="Tahoma"/>
                <w:b/>
                <w:bCs/>
                <w:iCs/>
                <w:color w:val="509141"/>
                <w:sz w:val="44"/>
                <w:szCs w:val="44"/>
                <w:lang w:val="en-US"/>
              </w:rPr>
            </w:pPr>
            <w:r w:rsidRPr="00AF5796">
              <w:rPr>
                <w:rFonts w:ascii="Tahoma" w:hAnsi="Tahoma" w:cs="Tahoma"/>
                <w:b/>
                <w:bCs/>
                <w:iCs/>
                <w:color w:val="509141"/>
                <w:sz w:val="44"/>
                <w:szCs w:val="44"/>
                <w:lang w:val="en-US"/>
              </w:rPr>
              <w:t>IMT t</w:t>
            </w:r>
            <w:r w:rsidR="005D2DA7" w:rsidRPr="00AF5796">
              <w:rPr>
                <w:rFonts w:ascii="Tahoma" w:hAnsi="Tahoma" w:cs="Tahoma"/>
                <w:b/>
                <w:bCs/>
                <w:iCs/>
                <w:color w:val="509141"/>
                <w:sz w:val="44"/>
                <w:szCs w:val="44"/>
                <w:lang w:val="en-US"/>
              </w:rPr>
              <w:t xml:space="preserve">raffic estimates </w:t>
            </w:r>
            <w:r w:rsidR="005D2DA7" w:rsidRPr="00AF5796">
              <w:rPr>
                <w:rFonts w:ascii="Tahoma" w:hAnsi="Tahoma" w:cs="Tahoma"/>
                <w:b/>
                <w:bCs/>
                <w:iCs/>
                <w:color w:val="509141"/>
                <w:sz w:val="44"/>
                <w:szCs w:val="44"/>
                <w:lang w:val="en-US"/>
              </w:rPr>
              <w:br/>
              <w:t>for the years 2020 to 2030</w:t>
            </w:r>
          </w:p>
          <w:p w:rsidR="005D2DA7" w:rsidRPr="00AF5796" w:rsidRDefault="005D2DA7" w:rsidP="00D513B3">
            <w:pPr>
              <w:spacing w:before="80" w:line="500" w:lineRule="exact"/>
              <w:jc w:val="right"/>
              <w:rPr>
                <w:rFonts w:ascii="Tahoma" w:hAnsi="Tahoma" w:cs="Tahoma"/>
                <w:b/>
                <w:bCs/>
                <w:iCs/>
                <w:color w:val="509141"/>
                <w:sz w:val="44"/>
                <w:szCs w:val="44"/>
                <w:lang w:val="en-US"/>
              </w:rPr>
            </w:pPr>
            <w:r w:rsidRPr="00AF5796">
              <w:rPr>
                <w:rFonts w:ascii="Tahoma" w:hAnsi="Tahoma" w:cs="Tahoma"/>
                <w:b/>
                <w:bCs/>
                <w:iCs/>
                <w:color w:val="509141"/>
                <w:sz w:val="44"/>
                <w:szCs w:val="44"/>
                <w:lang w:val="en-US"/>
              </w:rPr>
              <w:t xml:space="preserve">  </w:t>
            </w:r>
          </w:p>
        </w:tc>
      </w:tr>
      <w:tr w:rsidR="005D2DA7" w:rsidRPr="00AF5796" w:rsidTr="00D513B3">
        <w:tc>
          <w:tcPr>
            <w:tcW w:w="10089" w:type="dxa"/>
          </w:tcPr>
          <w:p w:rsidR="005D2DA7" w:rsidRPr="00AF5796" w:rsidRDefault="005D2DA7" w:rsidP="00D513B3">
            <w:pPr>
              <w:spacing w:before="80" w:line="280" w:lineRule="exact"/>
              <w:ind w:right="640"/>
              <w:rPr>
                <w:rFonts w:ascii="Tahoma" w:hAnsi="Tahoma" w:cs="Tahoma"/>
                <w:b/>
                <w:bCs/>
                <w:iCs/>
                <w:color w:val="243285"/>
                <w:sz w:val="32"/>
                <w:szCs w:val="32"/>
                <w:lang w:val="en-US"/>
              </w:rPr>
            </w:pPr>
          </w:p>
          <w:p w:rsidR="005D2DA7" w:rsidRPr="00AF5796" w:rsidRDefault="005D2DA7" w:rsidP="00D513B3">
            <w:pPr>
              <w:spacing w:before="80" w:line="280" w:lineRule="exact"/>
              <w:ind w:right="640"/>
              <w:rPr>
                <w:rFonts w:ascii="Tahoma" w:hAnsi="Tahoma" w:cs="Tahoma"/>
                <w:b/>
                <w:bCs/>
                <w:iCs/>
                <w:color w:val="243285"/>
                <w:sz w:val="32"/>
                <w:szCs w:val="32"/>
                <w:lang w:val="en-US"/>
              </w:rPr>
            </w:pPr>
          </w:p>
          <w:p w:rsidR="005D2DA7" w:rsidRPr="00AF5796" w:rsidRDefault="005D2DA7" w:rsidP="00D513B3">
            <w:pPr>
              <w:spacing w:before="80" w:line="280" w:lineRule="exact"/>
              <w:ind w:right="640"/>
              <w:rPr>
                <w:rFonts w:ascii="Tahoma" w:hAnsi="Tahoma" w:cs="Tahoma"/>
                <w:b/>
                <w:bCs/>
                <w:iCs/>
                <w:color w:val="243285"/>
                <w:sz w:val="32"/>
                <w:szCs w:val="32"/>
                <w:lang w:val="en-US"/>
              </w:rPr>
            </w:pPr>
          </w:p>
          <w:p w:rsidR="005D2DA7" w:rsidRPr="00AF5796" w:rsidRDefault="005D2DA7" w:rsidP="00D513B3">
            <w:pPr>
              <w:spacing w:before="80" w:after="180" w:line="360" w:lineRule="exact"/>
              <w:jc w:val="right"/>
              <w:rPr>
                <w:rFonts w:ascii="Tahoma" w:hAnsi="Tahoma" w:cs="Tahoma"/>
                <w:b/>
                <w:bCs/>
                <w:iCs/>
                <w:color w:val="243285"/>
                <w:sz w:val="36"/>
                <w:szCs w:val="36"/>
                <w:lang w:val="en-US"/>
              </w:rPr>
            </w:pPr>
          </w:p>
          <w:p w:rsidR="005D2DA7" w:rsidRPr="00AF5796" w:rsidRDefault="005D2DA7" w:rsidP="00D513B3">
            <w:pPr>
              <w:spacing w:before="80" w:after="180" w:line="360" w:lineRule="exact"/>
              <w:jc w:val="right"/>
              <w:rPr>
                <w:rFonts w:ascii="Tahoma" w:hAnsi="Tahoma" w:cs="Tahoma"/>
                <w:b/>
                <w:bCs/>
                <w:iCs/>
                <w:color w:val="509141"/>
                <w:sz w:val="36"/>
                <w:szCs w:val="36"/>
                <w:lang w:val="en-US"/>
              </w:rPr>
            </w:pPr>
            <w:r w:rsidRPr="00AF5796">
              <w:rPr>
                <w:rFonts w:ascii="Tahoma" w:hAnsi="Tahoma" w:cs="Tahoma"/>
                <w:b/>
                <w:bCs/>
                <w:iCs/>
                <w:color w:val="509141"/>
                <w:sz w:val="36"/>
                <w:szCs w:val="36"/>
                <w:lang w:val="en-US"/>
              </w:rPr>
              <w:t>M Series</w:t>
            </w:r>
          </w:p>
          <w:p w:rsidR="005D2DA7" w:rsidRPr="00AF5796" w:rsidRDefault="005D2DA7" w:rsidP="00D513B3">
            <w:pPr>
              <w:spacing w:before="80" w:line="420" w:lineRule="exact"/>
              <w:jc w:val="right"/>
              <w:rPr>
                <w:rFonts w:ascii="Tahoma" w:hAnsi="Tahoma" w:cs="Tahoma"/>
                <w:b/>
                <w:bCs/>
                <w:iCs/>
                <w:color w:val="509141"/>
                <w:sz w:val="36"/>
                <w:szCs w:val="36"/>
                <w:lang w:val="en-US"/>
              </w:rPr>
            </w:pPr>
            <w:r w:rsidRPr="00AF5796">
              <w:rPr>
                <w:rFonts w:ascii="Tahoma" w:hAnsi="Tahoma" w:cs="Tahoma"/>
                <w:b/>
                <w:bCs/>
                <w:iCs/>
                <w:color w:val="509141"/>
                <w:sz w:val="36"/>
                <w:szCs w:val="36"/>
                <w:lang w:val="en-US"/>
              </w:rPr>
              <w:t>Mobile, radiodetermination, amateur</w:t>
            </w:r>
          </w:p>
          <w:p w:rsidR="005D2DA7" w:rsidRPr="00AF5796" w:rsidRDefault="005D2DA7" w:rsidP="00D513B3">
            <w:pPr>
              <w:spacing w:before="80" w:line="420" w:lineRule="exact"/>
              <w:jc w:val="right"/>
              <w:rPr>
                <w:rFonts w:ascii="Tahoma" w:hAnsi="Tahoma" w:cs="Tahoma"/>
                <w:b/>
                <w:bCs/>
                <w:iCs/>
                <w:color w:val="509141"/>
                <w:sz w:val="36"/>
                <w:szCs w:val="36"/>
                <w:lang w:val="en-US"/>
              </w:rPr>
            </w:pPr>
            <w:r w:rsidRPr="00AF5796">
              <w:rPr>
                <w:rFonts w:ascii="Tahoma" w:hAnsi="Tahoma" w:cs="Tahoma"/>
                <w:b/>
                <w:bCs/>
                <w:iCs/>
                <w:color w:val="509141"/>
                <w:sz w:val="36"/>
                <w:szCs w:val="36"/>
                <w:lang w:val="en-US"/>
              </w:rPr>
              <w:t>and related satellite services</w:t>
            </w:r>
          </w:p>
        </w:tc>
      </w:tr>
    </w:tbl>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rPr>
          <w:rFonts w:ascii="Palatino Linotype" w:hAnsi="Palatino Linotype"/>
          <w:lang w:val="en-US"/>
        </w:rPr>
        <w:sectPr w:rsidR="005D2DA7" w:rsidRPr="00AF5796" w:rsidSect="00D513B3">
          <w:headerReference w:type="even" r:id="rId10"/>
          <w:headerReference w:type="default" r:id="rId11"/>
          <w:pgSz w:w="11907" w:h="16840" w:code="9"/>
          <w:pgMar w:top="1089" w:right="1089" w:bottom="284" w:left="1089" w:header="567" w:footer="284" w:gutter="0"/>
          <w:pgNumType w:start="1"/>
          <w:cols w:space="720"/>
        </w:sectPr>
      </w:pPr>
    </w:p>
    <w:p w:rsidR="005D2DA7" w:rsidRPr="00AF5796" w:rsidRDefault="005D2DA7" w:rsidP="005D2DA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sidRPr="00AF5796">
        <w:rPr>
          <w:bCs/>
          <w:sz w:val="24"/>
          <w:szCs w:val="24"/>
          <w:lang w:val="en-US"/>
        </w:rPr>
        <w:lastRenderedPageBreak/>
        <w:t>Foreword</w:t>
      </w:r>
    </w:p>
    <w:p w:rsidR="005D2DA7" w:rsidRPr="00AF5796" w:rsidRDefault="005D2DA7" w:rsidP="005D2DA7">
      <w:pPr>
        <w:spacing w:before="240"/>
        <w:rPr>
          <w:sz w:val="20"/>
          <w:lang w:val="en-US"/>
        </w:rPr>
      </w:pPr>
      <w:r w:rsidRPr="00AF5796">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D2DA7" w:rsidRPr="00AF5796" w:rsidRDefault="005D2DA7" w:rsidP="005D2DA7">
      <w:pPr>
        <w:rPr>
          <w:sz w:val="20"/>
          <w:lang w:val="en-US"/>
        </w:rPr>
      </w:pPr>
      <w:r w:rsidRPr="00AF5796">
        <w:rPr>
          <w:sz w:val="20"/>
          <w:lang w:val="en-US"/>
        </w:rPr>
        <w:t>The regulatory and policy functions of the Radiocommunication Sector are performed by World and Regional Radiocommunication Conferences and Radiocommunication Assemblies supported by Study Groups.</w:t>
      </w:r>
    </w:p>
    <w:p w:rsidR="005D2DA7" w:rsidRPr="00AF5796" w:rsidRDefault="005D2DA7" w:rsidP="005D2DA7">
      <w:pPr>
        <w:pStyle w:val="Heading1"/>
        <w:spacing w:before="400"/>
        <w:jc w:val="center"/>
        <w:rPr>
          <w:szCs w:val="24"/>
          <w:lang w:val="en-US"/>
        </w:rPr>
      </w:pPr>
    </w:p>
    <w:p w:rsidR="005D2DA7" w:rsidRPr="00AF5796" w:rsidRDefault="005D2DA7" w:rsidP="005D2DA7">
      <w:pPr>
        <w:pStyle w:val="Heading1"/>
        <w:spacing w:before="540"/>
        <w:jc w:val="center"/>
        <w:rPr>
          <w:szCs w:val="24"/>
          <w:lang w:val="en-US"/>
        </w:rPr>
      </w:pPr>
      <w:bookmarkStart w:id="2" w:name="_Toc427932291"/>
      <w:bookmarkStart w:id="3" w:name="_Toc427934843"/>
      <w:bookmarkStart w:id="4" w:name="_Toc427935016"/>
      <w:bookmarkStart w:id="5" w:name="_Toc427935100"/>
      <w:r w:rsidRPr="00AF5796">
        <w:rPr>
          <w:szCs w:val="24"/>
          <w:lang w:val="en-US"/>
        </w:rPr>
        <w:t>Policy on Intellectual Property Right (IPR)</w:t>
      </w:r>
      <w:bookmarkEnd w:id="2"/>
      <w:bookmarkEnd w:id="3"/>
      <w:bookmarkEnd w:id="4"/>
      <w:bookmarkEnd w:id="5"/>
    </w:p>
    <w:p w:rsidR="005D2DA7" w:rsidRPr="00AF5796" w:rsidRDefault="005D2DA7" w:rsidP="005D2DA7">
      <w:pPr>
        <w:tabs>
          <w:tab w:val="left" w:pos="720"/>
        </w:tabs>
        <w:spacing w:before="240"/>
        <w:rPr>
          <w:sz w:val="20"/>
          <w:lang w:val="en-US"/>
        </w:rPr>
      </w:pPr>
      <w:r w:rsidRPr="00AF5796">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F5796">
          <w:rPr>
            <w:rStyle w:val="Hyperlink"/>
            <w:sz w:val="20"/>
            <w:lang w:val="en-US"/>
          </w:rPr>
          <w:t>http://www.itu.int/ITU-R/go/patents/en</w:t>
        </w:r>
      </w:hyperlink>
      <w:r w:rsidRPr="00AF5796">
        <w:rPr>
          <w:sz w:val="20"/>
          <w:lang w:val="en-US"/>
        </w:rPr>
        <w:t xml:space="preserve"> where the Guidelines for Implementation of the Common Patent Policy for ITU</w:t>
      </w:r>
      <w:r w:rsidRPr="00AF5796">
        <w:rPr>
          <w:sz w:val="20"/>
          <w:lang w:val="en-US"/>
        </w:rPr>
        <w:noBreakHyphen/>
        <w:t>T/ITU</w:t>
      </w:r>
      <w:r w:rsidRPr="00AF5796">
        <w:rPr>
          <w:sz w:val="20"/>
          <w:lang w:val="en-US"/>
        </w:rPr>
        <w:noBreakHyphen/>
        <w:t xml:space="preserve">R/ISO/IEC and the ITU-R patent information database can also be found. </w:t>
      </w:r>
    </w:p>
    <w:p w:rsidR="005D2DA7" w:rsidRPr="00AF5796" w:rsidRDefault="005D2DA7" w:rsidP="005D2DA7">
      <w:pPr>
        <w:jc w:val="center"/>
        <w:rPr>
          <w:sz w:val="22"/>
          <w:lang w:val="en-US"/>
        </w:rPr>
      </w:pPr>
    </w:p>
    <w:p w:rsidR="005D2DA7" w:rsidRPr="00AF5796" w:rsidRDefault="005D2DA7" w:rsidP="005D2DA7">
      <w:pPr>
        <w:jc w:val="center"/>
        <w:rPr>
          <w:sz w:val="22"/>
          <w:lang w:val="en-US"/>
        </w:rPr>
      </w:pPr>
    </w:p>
    <w:p w:rsidR="005D2DA7" w:rsidRPr="00AF5796" w:rsidRDefault="005D2DA7" w:rsidP="005D2DA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D2DA7" w:rsidRPr="00AF4361" w:rsidTr="00D513B3">
        <w:tc>
          <w:tcPr>
            <w:tcW w:w="9360" w:type="dxa"/>
            <w:gridSpan w:val="2"/>
            <w:tcBorders>
              <w:top w:val="single" w:sz="12" w:space="0" w:color="000080"/>
              <w:left w:val="single" w:sz="12" w:space="0" w:color="000080"/>
              <w:bottom w:val="nil"/>
              <w:right w:val="single" w:sz="12" w:space="0" w:color="000080"/>
            </w:tcBorders>
          </w:tcPr>
          <w:p w:rsidR="005D2DA7" w:rsidRPr="00AF5796" w:rsidRDefault="005D2DA7" w:rsidP="00D513B3">
            <w:pPr>
              <w:pStyle w:val="ChapNo"/>
              <w:spacing w:before="240"/>
              <w:rPr>
                <w:sz w:val="22"/>
                <w:szCs w:val="22"/>
                <w:lang w:val="en-US"/>
              </w:rPr>
            </w:pPr>
            <w:r w:rsidRPr="00AF5796">
              <w:rPr>
                <w:sz w:val="22"/>
                <w:szCs w:val="22"/>
                <w:lang w:val="en-US"/>
              </w:rPr>
              <w:t xml:space="preserve">Series of ITU-R Reports </w:t>
            </w:r>
          </w:p>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AF5796">
              <w:rPr>
                <w:b w:val="0"/>
                <w:sz w:val="18"/>
                <w:szCs w:val="18"/>
                <w:lang w:val="en-US"/>
              </w:rPr>
              <w:t xml:space="preserve">(Also available online at </w:t>
            </w:r>
            <w:hyperlink r:id="rId13" w:history="1">
              <w:r w:rsidRPr="00AF5796">
                <w:rPr>
                  <w:rStyle w:val="Hyperlink"/>
                  <w:b w:val="0"/>
                  <w:bCs/>
                  <w:sz w:val="18"/>
                  <w:szCs w:val="18"/>
                  <w:lang w:val="en-US"/>
                </w:rPr>
                <w:t>http://www.itu.int/publ/R-REP/en</w:t>
              </w:r>
            </w:hyperlink>
            <w:r w:rsidRPr="00AF5796">
              <w:rPr>
                <w:b w:val="0"/>
                <w:sz w:val="18"/>
                <w:szCs w:val="18"/>
                <w:lang w:val="en-US"/>
              </w:rPr>
              <w:t>)</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200" w:after="100"/>
              <w:ind w:left="57"/>
              <w:rPr>
                <w:b/>
                <w:bCs/>
                <w:sz w:val="20"/>
                <w:lang w:val="en-US"/>
              </w:rPr>
            </w:pPr>
            <w:r w:rsidRPr="00AF5796">
              <w:rPr>
                <w:b/>
                <w:bCs/>
                <w:sz w:val="20"/>
                <w:lang w:val="en-US"/>
              </w:rPr>
              <w:t>Series</w:t>
            </w:r>
          </w:p>
        </w:tc>
        <w:tc>
          <w:tcPr>
            <w:tcW w:w="8220" w:type="dxa"/>
            <w:tcBorders>
              <w:top w:val="nil"/>
              <w:left w:val="nil"/>
              <w:bottom w:val="nil"/>
              <w:right w:val="single" w:sz="12" w:space="0" w:color="000080"/>
            </w:tcBorders>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AF5796">
              <w:rPr>
                <w:bCs/>
                <w:sz w:val="20"/>
                <w:lang w:val="en-US"/>
              </w:rPr>
              <w:t>Title</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BO</w:t>
            </w:r>
          </w:p>
        </w:tc>
        <w:tc>
          <w:tcPr>
            <w:tcW w:w="8220" w:type="dxa"/>
            <w:tcBorders>
              <w:top w:val="nil"/>
              <w:left w:val="nil"/>
              <w:bottom w:val="nil"/>
              <w:right w:val="single" w:sz="12" w:space="0" w:color="000080"/>
            </w:tcBorders>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AF5796">
              <w:rPr>
                <w:b w:val="0"/>
                <w:bCs/>
                <w:sz w:val="20"/>
                <w:lang w:val="en-US"/>
              </w:rPr>
              <w:t>Satellite delivery</w:t>
            </w:r>
          </w:p>
        </w:tc>
      </w:tr>
      <w:tr w:rsidR="005D2DA7" w:rsidRPr="00AF4361" w:rsidTr="00D513B3">
        <w:tc>
          <w:tcPr>
            <w:tcW w:w="1140" w:type="dxa"/>
            <w:tcBorders>
              <w:top w:val="nil"/>
              <w:left w:val="single" w:sz="12" w:space="0" w:color="000080"/>
              <w:bottom w:val="nil"/>
              <w:right w:val="nil"/>
            </w:tcBorders>
            <w:shd w:val="clear" w:color="auto" w:fill="auto"/>
          </w:tcPr>
          <w:p w:rsidR="005D2DA7" w:rsidRPr="00AF5796" w:rsidRDefault="005D2DA7" w:rsidP="00D513B3">
            <w:pPr>
              <w:spacing w:before="30" w:after="30"/>
              <w:ind w:left="57"/>
              <w:jc w:val="left"/>
              <w:rPr>
                <w:rFonts w:ascii="Times New Roman Bold" w:hAnsi="Times New Roman Bold" w:cs="Times New Roman Bold"/>
                <w:b/>
                <w:bCs/>
                <w:sz w:val="20"/>
                <w:lang w:val="en-US"/>
              </w:rPr>
            </w:pPr>
            <w:r w:rsidRPr="00AF5796">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F5796">
              <w:rPr>
                <w:b w:val="0"/>
                <w:sz w:val="20"/>
                <w:lang w:val="en-US"/>
              </w:rPr>
              <w:t>Recording for production, archival and play-out; film for television</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BS</w:t>
            </w:r>
          </w:p>
        </w:tc>
        <w:tc>
          <w:tcPr>
            <w:tcW w:w="8220" w:type="dxa"/>
            <w:tcBorders>
              <w:top w:val="nil"/>
              <w:left w:val="nil"/>
              <w:bottom w:val="nil"/>
              <w:right w:val="single" w:sz="12" w:space="0" w:color="000080"/>
            </w:tcBorders>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F5796">
              <w:rPr>
                <w:b w:val="0"/>
                <w:sz w:val="20"/>
                <w:lang w:val="en-US"/>
              </w:rPr>
              <w:t>Broadcasting service (sound)</w:t>
            </w:r>
          </w:p>
        </w:tc>
      </w:tr>
      <w:tr w:rsidR="005D2DA7" w:rsidRPr="00AF5796" w:rsidTr="00D513B3">
        <w:tc>
          <w:tcPr>
            <w:tcW w:w="1140" w:type="dxa"/>
            <w:tcBorders>
              <w:top w:val="nil"/>
              <w:left w:val="single" w:sz="12" w:space="0" w:color="000080"/>
              <w:bottom w:val="nil"/>
              <w:right w:val="nil"/>
            </w:tcBorders>
            <w:shd w:val="clear" w:color="auto" w:fill="auto"/>
          </w:tcPr>
          <w:p w:rsidR="005D2DA7" w:rsidRPr="00AF5796" w:rsidRDefault="005D2DA7" w:rsidP="00D513B3">
            <w:pPr>
              <w:spacing w:before="30" w:after="30"/>
              <w:ind w:left="57"/>
              <w:jc w:val="left"/>
              <w:rPr>
                <w:rFonts w:ascii="Times New Roman Bold" w:hAnsi="Times New Roman Bold" w:cs="Times New Roman Bold"/>
                <w:b/>
                <w:bCs/>
                <w:sz w:val="20"/>
                <w:lang w:val="en-US"/>
              </w:rPr>
            </w:pPr>
            <w:r w:rsidRPr="00AF5796">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F5796">
              <w:rPr>
                <w:b w:val="0"/>
                <w:sz w:val="20"/>
                <w:lang w:val="en-US"/>
              </w:rPr>
              <w:t>Broadcasting service (television)</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F</w:t>
            </w:r>
          </w:p>
        </w:tc>
        <w:tc>
          <w:tcPr>
            <w:tcW w:w="8220" w:type="dxa"/>
            <w:tcBorders>
              <w:top w:val="nil"/>
              <w:left w:val="nil"/>
              <w:bottom w:val="nil"/>
              <w:right w:val="single" w:sz="12" w:space="0" w:color="000080"/>
            </w:tcBorders>
          </w:tcPr>
          <w:p w:rsidR="005D2DA7" w:rsidRPr="00AF5796" w:rsidRDefault="005D2DA7" w:rsidP="00D513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F5796">
              <w:rPr>
                <w:sz w:val="20"/>
                <w:lang w:val="en-US"/>
              </w:rPr>
              <w:t>Fixed service</w:t>
            </w:r>
          </w:p>
        </w:tc>
      </w:tr>
      <w:tr w:rsidR="005D2DA7" w:rsidRPr="00AF5796" w:rsidTr="00D513B3">
        <w:tc>
          <w:tcPr>
            <w:tcW w:w="1140" w:type="dxa"/>
            <w:tcBorders>
              <w:top w:val="nil"/>
              <w:left w:val="single" w:sz="12" w:space="0" w:color="000080"/>
              <w:bottom w:val="nil"/>
              <w:right w:val="nil"/>
            </w:tcBorders>
            <w:shd w:val="clear" w:color="auto" w:fill="F3F3F3"/>
          </w:tcPr>
          <w:p w:rsidR="005D2DA7" w:rsidRPr="00AF5796" w:rsidRDefault="005D2DA7" w:rsidP="00D513B3">
            <w:pPr>
              <w:spacing w:before="30" w:after="30"/>
              <w:ind w:left="57"/>
              <w:jc w:val="left"/>
              <w:rPr>
                <w:b/>
                <w:bCs/>
                <w:color w:val="000080"/>
                <w:sz w:val="20"/>
                <w:lang w:val="en-US"/>
              </w:rPr>
            </w:pPr>
            <w:r w:rsidRPr="00AF5796">
              <w:rPr>
                <w:b/>
                <w:bCs/>
                <w:color w:val="000080"/>
                <w:sz w:val="20"/>
                <w:lang w:val="en-US"/>
              </w:rPr>
              <w:t>M</w:t>
            </w:r>
          </w:p>
        </w:tc>
        <w:tc>
          <w:tcPr>
            <w:tcW w:w="8220" w:type="dxa"/>
            <w:tcBorders>
              <w:top w:val="nil"/>
              <w:left w:val="nil"/>
              <w:bottom w:val="nil"/>
              <w:right w:val="single" w:sz="12" w:space="0" w:color="000080"/>
            </w:tcBorders>
            <w:shd w:val="clear" w:color="auto" w:fill="F3F3F3"/>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AF5796">
              <w:rPr>
                <w:bCs/>
                <w:color w:val="000080"/>
                <w:sz w:val="20"/>
                <w:lang w:val="en-US"/>
              </w:rPr>
              <w:t>Mobile, radiodetermination, amateur and related satellite services</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P</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Radiowave propagation</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RA</w:t>
            </w:r>
          </w:p>
        </w:tc>
        <w:tc>
          <w:tcPr>
            <w:tcW w:w="8220" w:type="dxa"/>
            <w:tcBorders>
              <w:top w:val="nil"/>
              <w:left w:val="nil"/>
              <w:bottom w:val="nil"/>
              <w:right w:val="single" w:sz="12" w:space="0" w:color="000080"/>
            </w:tcBorders>
          </w:tcPr>
          <w:p w:rsidR="005D2DA7" w:rsidRPr="00AF5796" w:rsidRDefault="005D2DA7" w:rsidP="00D513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F5796">
              <w:rPr>
                <w:sz w:val="20"/>
                <w:lang w:val="en-US"/>
              </w:rPr>
              <w:t>Radio astronomy</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RS</w:t>
            </w:r>
          </w:p>
        </w:tc>
        <w:tc>
          <w:tcPr>
            <w:tcW w:w="8220" w:type="dxa"/>
            <w:tcBorders>
              <w:top w:val="nil"/>
              <w:left w:val="nil"/>
              <w:bottom w:val="nil"/>
              <w:right w:val="single" w:sz="12" w:space="0" w:color="000080"/>
            </w:tcBorders>
          </w:tcPr>
          <w:p w:rsidR="005D2DA7" w:rsidRPr="00AF5796" w:rsidRDefault="005D2DA7" w:rsidP="00D513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F5796">
              <w:rPr>
                <w:sz w:val="20"/>
                <w:lang w:val="en-US"/>
              </w:rPr>
              <w:t>Remote sensing systems</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Fixed-satellite service</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SA</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Space applications and meteorology</w:t>
            </w:r>
          </w:p>
        </w:tc>
      </w:tr>
      <w:tr w:rsidR="005D2DA7" w:rsidRPr="00AF4361"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SF</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Frequency sharing and coordination between fixed-satellite and fixed service systems</w:t>
            </w:r>
          </w:p>
        </w:tc>
      </w:tr>
      <w:tr w:rsidR="005D2DA7" w:rsidRPr="00AF5796" w:rsidTr="00D513B3">
        <w:tc>
          <w:tcPr>
            <w:tcW w:w="1140" w:type="dxa"/>
            <w:tcBorders>
              <w:top w:val="nil"/>
              <w:left w:val="single" w:sz="12" w:space="0" w:color="000080"/>
              <w:bottom w:val="single" w:sz="12" w:space="0" w:color="000080"/>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SM</w:t>
            </w:r>
          </w:p>
        </w:tc>
        <w:tc>
          <w:tcPr>
            <w:tcW w:w="8220" w:type="dxa"/>
            <w:tcBorders>
              <w:top w:val="nil"/>
              <w:left w:val="nil"/>
              <w:bottom w:val="single" w:sz="12" w:space="0" w:color="000080"/>
              <w:right w:val="single" w:sz="12" w:space="0" w:color="000080"/>
            </w:tcBorders>
          </w:tcPr>
          <w:p w:rsidR="005D2DA7" w:rsidRPr="00AF5796" w:rsidRDefault="005D2DA7" w:rsidP="00D513B3">
            <w:pPr>
              <w:spacing w:before="30" w:after="180"/>
              <w:jc w:val="left"/>
              <w:rPr>
                <w:sz w:val="20"/>
                <w:lang w:val="en-US"/>
              </w:rPr>
            </w:pPr>
            <w:r w:rsidRPr="00AF5796">
              <w:rPr>
                <w:sz w:val="20"/>
                <w:lang w:val="en-US"/>
              </w:rPr>
              <w:t>Spectrum management</w:t>
            </w:r>
          </w:p>
        </w:tc>
      </w:tr>
    </w:tbl>
    <w:p w:rsidR="005D2DA7" w:rsidRPr="00AF5796" w:rsidRDefault="005D2DA7" w:rsidP="005D2DA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D2DA7" w:rsidRPr="00AF5796" w:rsidTr="00D513B3">
        <w:tc>
          <w:tcPr>
            <w:tcW w:w="720" w:type="dxa"/>
          </w:tcPr>
          <w:p w:rsidR="005D2DA7" w:rsidRPr="00AF5796" w:rsidRDefault="005D2DA7" w:rsidP="00D513B3">
            <w:pPr>
              <w:jc w:val="center"/>
              <w:rPr>
                <w:sz w:val="22"/>
                <w:lang w:val="en-US"/>
              </w:rPr>
            </w:pPr>
          </w:p>
        </w:tc>
      </w:tr>
    </w:tbl>
    <w:p w:rsidR="005D2DA7" w:rsidRPr="00AF5796" w:rsidRDefault="005D2DA7" w:rsidP="005D2DA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5D2DA7" w:rsidRPr="00AF4361" w:rsidTr="00D513B3">
        <w:tc>
          <w:tcPr>
            <w:tcW w:w="9360" w:type="dxa"/>
            <w:tcBorders>
              <w:top w:val="single" w:sz="12" w:space="0" w:color="000080"/>
              <w:left w:val="single" w:sz="12" w:space="0" w:color="000080"/>
              <w:bottom w:val="single" w:sz="12" w:space="0" w:color="000080"/>
              <w:right w:val="single" w:sz="12" w:space="0" w:color="000080"/>
            </w:tcBorders>
          </w:tcPr>
          <w:p w:rsidR="005D2DA7" w:rsidRPr="00AF5796" w:rsidRDefault="005D2DA7" w:rsidP="00D513B3">
            <w:pPr>
              <w:spacing w:after="120"/>
              <w:jc w:val="left"/>
              <w:rPr>
                <w:b/>
                <w:bCs/>
                <w:sz w:val="20"/>
                <w:lang w:val="en-US"/>
              </w:rPr>
            </w:pPr>
            <w:r w:rsidRPr="00AF5796">
              <w:rPr>
                <w:b/>
                <w:bCs/>
                <w:i/>
                <w:iCs/>
                <w:sz w:val="20"/>
                <w:lang w:val="en-US"/>
              </w:rPr>
              <w:t>Note</w:t>
            </w:r>
            <w:r w:rsidRPr="00AF5796">
              <w:rPr>
                <w:i/>
                <w:iCs/>
                <w:sz w:val="20"/>
                <w:lang w:val="en-US"/>
              </w:rPr>
              <w:t>: This ITU-R Report was approved in English by the Study Group under the procedure detailed in Resolution ITU-R 1.</w:t>
            </w:r>
          </w:p>
        </w:tc>
      </w:tr>
    </w:tbl>
    <w:p w:rsidR="005D2DA7" w:rsidRPr="00AF5796" w:rsidRDefault="005D2DA7" w:rsidP="005D2DA7">
      <w:pPr>
        <w:spacing w:before="0"/>
        <w:jc w:val="center"/>
        <w:rPr>
          <w:sz w:val="22"/>
          <w:lang w:val="en-US"/>
        </w:rPr>
      </w:pPr>
    </w:p>
    <w:p w:rsidR="005D2DA7" w:rsidRPr="00AF5796" w:rsidRDefault="005D2DA7" w:rsidP="005D2DA7">
      <w:pPr>
        <w:spacing w:before="0"/>
        <w:jc w:val="center"/>
        <w:rPr>
          <w:sz w:val="22"/>
          <w:lang w:val="en-US"/>
        </w:rPr>
      </w:pPr>
    </w:p>
    <w:p w:rsidR="005D2DA7" w:rsidRPr="00AF5796" w:rsidRDefault="005D2DA7" w:rsidP="005D2DA7">
      <w:pPr>
        <w:spacing w:before="0"/>
        <w:jc w:val="right"/>
        <w:rPr>
          <w:i/>
          <w:iCs/>
          <w:sz w:val="20"/>
          <w:lang w:val="en-US"/>
        </w:rPr>
      </w:pPr>
      <w:r w:rsidRPr="00AF5796">
        <w:rPr>
          <w:i/>
          <w:iCs/>
          <w:sz w:val="20"/>
          <w:lang w:val="en-US"/>
        </w:rPr>
        <w:t>Electronic Publication</w:t>
      </w:r>
    </w:p>
    <w:p w:rsidR="005D2DA7" w:rsidRPr="00AF5796" w:rsidRDefault="005D2DA7" w:rsidP="005D2DA7">
      <w:pPr>
        <w:spacing w:before="0"/>
        <w:jc w:val="right"/>
        <w:rPr>
          <w:sz w:val="20"/>
          <w:lang w:val="en-US"/>
        </w:rPr>
      </w:pPr>
      <w:r w:rsidRPr="00AF5796">
        <w:rPr>
          <w:sz w:val="20"/>
          <w:lang w:val="en-US"/>
        </w:rPr>
        <w:t>Geneva, 2015</w:t>
      </w:r>
    </w:p>
    <w:p w:rsidR="005D2DA7" w:rsidRPr="00AF5796" w:rsidRDefault="005D2DA7" w:rsidP="005D2DA7">
      <w:pPr>
        <w:jc w:val="center"/>
        <w:rPr>
          <w:sz w:val="20"/>
          <w:lang w:val="en-US"/>
        </w:rPr>
      </w:pPr>
      <w:r w:rsidRPr="00AF5796">
        <w:rPr>
          <w:sz w:val="20"/>
          <w:lang w:val="en-US"/>
        </w:rPr>
        <w:sym w:font="Symbol" w:char="00E3"/>
      </w:r>
      <w:r w:rsidRPr="00AF5796">
        <w:rPr>
          <w:sz w:val="20"/>
          <w:lang w:val="en-US"/>
        </w:rPr>
        <w:t xml:space="preserve"> ITU </w:t>
      </w:r>
      <w:bookmarkStart w:id="6" w:name="iiannee"/>
      <w:bookmarkEnd w:id="6"/>
      <w:r w:rsidRPr="00AF5796">
        <w:rPr>
          <w:sz w:val="20"/>
          <w:lang w:val="en-US"/>
        </w:rPr>
        <w:t>2015</w:t>
      </w:r>
    </w:p>
    <w:p w:rsidR="005D2DA7" w:rsidRPr="00AF5796" w:rsidRDefault="005D2DA7" w:rsidP="005D2DA7">
      <w:pPr>
        <w:rPr>
          <w:sz w:val="18"/>
          <w:szCs w:val="18"/>
          <w:lang w:val="en-US"/>
        </w:rPr>
      </w:pPr>
      <w:r w:rsidRPr="00AF5796">
        <w:rPr>
          <w:sz w:val="18"/>
          <w:szCs w:val="18"/>
          <w:lang w:val="en-US"/>
        </w:rPr>
        <w:t>All rights reserved. No part of this publication may be reproduced, by any means whatsoever, without written permission of ITU.</w:t>
      </w:r>
    </w:p>
    <w:p w:rsidR="005D2DA7" w:rsidRPr="00AF5796" w:rsidRDefault="005D2DA7" w:rsidP="005D2DA7">
      <w:pPr>
        <w:tabs>
          <w:tab w:val="clear" w:pos="794"/>
          <w:tab w:val="clear" w:pos="1191"/>
          <w:tab w:val="clear" w:pos="1588"/>
          <w:tab w:val="clear" w:pos="1985"/>
        </w:tabs>
        <w:overflowPunct/>
        <w:autoSpaceDE/>
        <w:autoSpaceDN/>
        <w:adjustRightInd/>
        <w:spacing w:before="0"/>
        <w:jc w:val="left"/>
        <w:rPr>
          <w:i/>
          <w:sz w:val="20"/>
          <w:lang w:val="en-US"/>
        </w:rPr>
        <w:sectPr w:rsidR="005D2DA7" w:rsidRPr="00AF5796" w:rsidSect="00D513B3">
          <w:headerReference w:type="even" r:id="rId14"/>
          <w:pgSz w:w="11907" w:h="16834"/>
          <w:pgMar w:top="1418" w:right="1134" w:bottom="1134" w:left="1134" w:header="720" w:footer="482" w:gutter="0"/>
          <w:paperSrc w:first="15" w:other="15"/>
          <w:pgNumType w:fmt="lowerRoman" w:start="2"/>
          <w:cols w:space="720"/>
        </w:sectPr>
      </w:pPr>
    </w:p>
    <w:p w:rsidR="005D2DA7" w:rsidRPr="00AF5796" w:rsidRDefault="005D2DA7" w:rsidP="005D2DA7">
      <w:pPr>
        <w:pStyle w:val="RepNo"/>
        <w:spacing w:before="0"/>
        <w:rPr>
          <w:lang w:val="en-US"/>
        </w:rPr>
      </w:pPr>
      <w:bookmarkStart w:id="7" w:name="irecnoe"/>
      <w:bookmarkEnd w:id="7"/>
      <w:r w:rsidRPr="00AF5796">
        <w:rPr>
          <w:lang w:val="en-US"/>
        </w:rPr>
        <w:lastRenderedPageBreak/>
        <w:t xml:space="preserve">REPORT  </w:t>
      </w:r>
      <w:r w:rsidRPr="00AF5796">
        <w:rPr>
          <w:rStyle w:val="href"/>
          <w:lang w:val="en-US"/>
        </w:rPr>
        <w:t>ITU-R  M.</w:t>
      </w:r>
      <w:r w:rsidR="00D513B3" w:rsidRPr="00AF5796">
        <w:rPr>
          <w:rStyle w:val="href"/>
          <w:lang w:val="en-US"/>
        </w:rPr>
        <w:t>2370-0</w:t>
      </w:r>
    </w:p>
    <w:p w:rsidR="00A6617B" w:rsidRPr="00AF5796" w:rsidRDefault="005D2DA7" w:rsidP="005D2DA7">
      <w:pPr>
        <w:pStyle w:val="Reptitle"/>
        <w:rPr>
          <w:lang w:val="en-US" w:eastAsia="zh-CN"/>
        </w:rPr>
      </w:pPr>
      <w:r w:rsidRPr="00AF5796">
        <w:rPr>
          <w:lang w:val="en-US" w:eastAsia="zh-CN"/>
        </w:rPr>
        <w:t>IMT</w:t>
      </w:r>
      <w:r w:rsidR="00051755">
        <w:rPr>
          <w:lang w:val="en-US" w:eastAsia="zh-CN"/>
        </w:rPr>
        <w:t xml:space="preserve"> t</w:t>
      </w:r>
      <w:r w:rsidRPr="00AF5796">
        <w:rPr>
          <w:lang w:val="en-US" w:eastAsia="zh-CN"/>
        </w:rPr>
        <w:t>raffic estimates for the years 2020 to 2030</w:t>
      </w:r>
    </w:p>
    <w:p w:rsidR="008A6CEE" w:rsidRPr="00AF5796" w:rsidRDefault="008A6CEE" w:rsidP="008A6CEE">
      <w:pPr>
        <w:pStyle w:val="Recdate"/>
        <w:rPr>
          <w:lang w:val="en-US" w:eastAsia="zh-CN"/>
        </w:rPr>
      </w:pPr>
      <w:r w:rsidRPr="00AF5796">
        <w:rPr>
          <w:lang w:val="en-US" w:eastAsia="zh-CN"/>
        </w:rPr>
        <w:t>(2015)</w:t>
      </w:r>
    </w:p>
    <w:p w:rsidR="00FF1466" w:rsidRPr="00AF5796" w:rsidRDefault="00FF1466" w:rsidP="00FF1466">
      <w:pPr>
        <w:pStyle w:val="Normalaftertitle"/>
        <w:jc w:val="center"/>
        <w:rPr>
          <w:lang w:val="en-US" w:eastAsia="zh-CN"/>
        </w:rPr>
      </w:pPr>
      <w:r w:rsidRPr="00AF5796">
        <w:rPr>
          <w:lang w:val="en-US" w:eastAsia="zh-CN"/>
        </w:rPr>
        <w:t>TABLE CONTENTS</w:t>
      </w:r>
    </w:p>
    <w:p w:rsidR="00FF1466" w:rsidRPr="00AF5796" w:rsidRDefault="00FF1466" w:rsidP="00FF1466">
      <w:pPr>
        <w:pStyle w:val="TOC1"/>
        <w:rPr>
          <w:rFonts w:asciiTheme="minorHAnsi" w:eastAsiaTheme="minorEastAsia" w:hAnsiTheme="minorHAnsi" w:cstheme="minorBidi"/>
          <w:noProof/>
          <w:sz w:val="22"/>
          <w:szCs w:val="22"/>
          <w:lang w:eastAsia="zh-CN"/>
        </w:rPr>
      </w:pPr>
      <w:r w:rsidRPr="00AF5796">
        <w:rPr>
          <w:lang w:eastAsia="zh-CN"/>
        </w:rPr>
        <w:fldChar w:fldCharType="begin"/>
      </w:r>
      <w:r w:rsidRPr="00AF5796">
        <w:rPr>
          <w:lang w:eastAsia="zh-CN"/>
        </w:rPr>
        <w:instrText xml:space="preserve"> TOC \o "1-2" \h \z \t "Annex_NoTitle,1,Appendix_NoTitle,1" </w:instrText>
      </w:r>
      <w:r w:rsidRPr="00AF5796">
        <w:rPr>
          <w:lang w:eastAsia="zh-CN"/>
        </w:rPr>
        <w:fldChar w:fldCharType="separate"/>
      </w:r>
      <w:hyperlink w:anchor="_Toc427935101" w:history="1">
        <w:r w:rsidRPr="00AF5796">
          <w:rPr>
            <w:rStyle w:val="Hyperlink"/>
            <w:rFonts w:eastAsia="Calibri"/>
            <w:noProof/>
          </w:rPr>
          <w:t>1</w:t>
        </w:r>
        <w:r w:rsidRPr="00AF5796">
          <w:rPr>
            <w:rFonts w:asciiTheme="minorHAnsi" w:eastAsiaTheme="minorEastAsia" w:hAnsiTheme="minorHAnsi" w:cstheme="minorBidi"/>
            <w:noProof/>
            <w:sz w:val="22"/>
            <w:szCs w:val="22"/>
            <w:lang w:eastAsia="zh-CN"/>
          </w:rPr>
          <w:tab/>
        </w:r>
        <w:r w:rsidRPr="00AF5796">
          <w:rPr>
            <w:rStyle w:val="Hyperlink"/>
            <w:rFonts w:eastAsia="Calibri"/>
            <w:noProof/>
          </w:rPr>
          <w:t>Introduction</w:t>
        </w:r>
        <w:r w:rsidRPr="00AF5796">
          <w:rPr>
            <w:noProof/>
            <w:webHidden/>
          </w:rPr>
          <w:tab/>
        </w:r>
        <w:r w:rsidRPr="00AF5796">
          <w:rPr>
            <w:noProof/>
            <w:webHidden/>
          </w:rPr>
          <w:tab/>
        </w:r>
        <w:r w:rsidRPr="00AF5796">
          <w:rPr>
            <w:noProof/>
            <w:webHidden/>
          </w:rPr>
          <w:fldChar w:fldCharType="begin"/>
        </w:r>
        <w:r w:rsidRPr="00AF5796">
          <w:rPr>
            <w:noProof/>
            <w:webHidden/>
          </w:rPr>
          <w:instrText xml:space="preserve"> PAGEREF _Toc427935101 \h </w:instrText>
        </w:r>
        <w:r w:rsidRPr="00AF5796">
          <w:rPr>
            <w:noProof/>
            <w:webHidden/>
          </w:rPr>
        </w:r>
        <w:r w:rsidRPr="00AF5796">
          <w:rPr>
            <w:noProof/>
            <w:webHidden/>
          </w:rPr>
          <w:fldChar w:fldCharType="separate"/>
        </w:r>
        <w:r w:rsidR="003547D8">
          <w:rPr>
            <w:noProof/>
            <w:webHidden/>
          </w:rPr>
          <w:t>2</w:t>
        </w:r>
        <w:r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2" w:history="1">
        <w:r w:rsidR="00FF1466" w:rsidRPr="00AF5796">
          <w:rPr>
            <w:rStyle w:val="Hyperlink"/>
            <w:rFonts w:eastAsia="Calibri"/>
            <w:noProof/>
          </w:rPr>
          <w:t>2</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Calibri"/>
            <w:noProof/>
          </w:rPr>
          <w:t xml:space="preserve">Related </w:t>
        </w:r>
        <w:r w:rsidR="00FF1466" w:rsidRPr="00AF5796">
          <w:rPr>
            <w:rStyle w:val="Hyperlink"/>
            <w:rFonts w:eastAsia="Calibri"/>
            <w:noProof/>
            <w:lang w:eastAsia="zh-CN"/>
          </w:rPr>
          <w:t>ITU-R Recommendations and Reports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_Toc427935102 \h </w:instrText>
        </w:r>
        <w:r w:rsidR="00FF1466" w:rsidRPr="00AF5796">
          <w:rPr>
            <w:noProof/>
            <w:webHidden/>
          </w:rPr>
        </w:r>
        <w:r w:rsidR="00FF1466" w:rsidRPr="00AF5796">
          <w:rPr>
            <w:noProof/>
            <w:webHidden/>
          </w:rPr>
          <w:fldChar w:fldCharType="separate"/>
        </w:r>
        <w:r>
          <w:rPr>
            <w:noProof/>
            <w:webHidden/>
          </w:rPr>
          <w:t>3</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3" w:history="1">
        <w:r w:rsidR="00FF1466" w:rsidRPr="00AF5796">
          <w:rPr>
            <w:rStyle w:val="Hyperlink"/>
            <w:rFonts w:eastAsia="Calibri"/>
            <w:noProof/>
          </w:rPr>
          <w:t>3</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Calibri"/>
            <w:noProof/>
          </w:rPr>
          <w:t>Trends impacting traffic estimation beyond 2020</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_Toc427935103 \h </w:instrText>
        </w:r>
        <w:r w:rsidR="00FF1466" w:rsidRPr="00AF5796">
          <w:rPr>
            <w:noProof/>
            <w:webHidden/>
          </w:rPr>
        </w:r>
        <w:r w:rsidR="00FF1466" w:rsidRPr="00AF5796">
          <w:rPr>
            <w:noProof/>
            <w:webHidden/>
          </w:rPr>
          <w:fldChar w:fldCharType="separate"/>
        </w:r>
        <w:r>
          <w:rPr>
            <w:noProof/>
            <w:webHidden/>
          </w:rPr>
          <w:t>3</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4" w:history="1">
        <w:r w:rsidR="00FF1466" w:rsidRPr="00AF5796">
          <w:rPr>
            <w:rStyle w:val="Hyperlink"/>
            <w:rFonts w:eastAsia="Calibri"/>
            <w:noProof/>
          </w:rPr>
          <w:t>3.1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Drivers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_Toc427935104 \h </w:instrText>
        </w:r>
        <w:r w:rsidR="00FF1466" w:rsidRPr="00AF5796">
          <w:rPr>
            <w:noProof/>
            <w:webHidden/>
          </w:rPr>
        </w:r>
        <w:r w:rsidR="00FF1466" w:rsidRPr="00AF5796">
          <w:rPr>
            <w:noProof/>
            <w:webHidden/>
          </w:rPr>
          <w:fldChar w:fldCharType="separate"/>
        </w:r>
        <w:r>
          <w:rPr>
            <w:noProof/>
            <w:webHidden/>
          </w:rPr>
          <w:t>3</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5" w:history="1">
        <w:r w:rsidR="00FF1466" w:rsidRPr="00AF5796">
          <w:rPr>
            <w:rStyle w:val="Hyperlink"/>
            <w:rFonts w:eastAsia="Calibri"/>
            <w:noProof/>
          </w:rPr>
          <w:t>3.2</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Calibri"/>
            <w:noProof/>
          </w:rPr>
          <w:t>Shifting demography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_Toc427935105 \h </w:instrText>
        </w:r>
        <w:r w:rsidR="00FF1466" w:rsidRPr="00AF5796">
          <w:rPr>
            <w:noProof/>
            <w:webHidden/>
          </w:rPr>
        </w:r>
        <w:r w:rsidR="00FF1466" w:rsidRPr="00AF5796">
          <w:rPr>
            <w:noProof/>
            <w:webHidden/>
          </w:rPr>
          <w:fldChar w:fldCharType="separate"/>
        </w:r>
        <w:r>
          <w:rPr>
            <w:noProof/>
            <w:webHidden/>
          </w:rPr>
          <w:t>7</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6" w:history="1">
        <w:r w:rsidR="00FF1466" w:rsidRPr="00AF5796">
          <w:rPr>
            <w:rStyle w:val="Hyperlink"/>
            <w:rFonts w:eastAsia="MS Mincho"/>
            <w:noProof/>
          </w:rPr>
          <w:t>4</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MS Mincho"/>
            <w:noProof/>
          </w:rPr>
          <w:t>Mobile device proliferation</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_Toc427935106 \h </w:instrText>
        </w:r>
        <w:r w:rsidR="00FF1466" w:rsidRPr="00AF5796">
          <w:rPr>
            <w:noProof/>
            <w:webHidden/>
          </w:rPr>
        </w:r>
        <w:r w:rsidR="00FF1466" w:rsidRPr="00AF5796">
          <w:rPr>
            <w:noProof/>
            <w:webHidden/>
          </w:rPr>
          <w:fldChar w:fldCharType="separate"/>
        </w:r>
        <w:r>
          <w:rPr>
            <w:noProof/>
            <w:webHidden/>
          </w:rPr>
          <w:t>8</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7" w:history="1">
        <w:r w:rsidR="00FF1466" w:rsidRPr="00AF5796">
          <w:rPr>
            <w:rStyle w:val="Hyperlink"/>
            <w:noProof/>
          </w:rPr>
          <w:t>4.1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Statistical information</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_Toc427935107 \h </w:instrText>
        </w:r>
        <w:r w:rsidR="00FF1466" w:rsidRPr="00AF5796">
          <w:rPr>
            <w:noProof/>
            <w:webHidden/>
          </w:rPr>
        </w:r>
        <w:r w:rsidR="00FF1466" w:rsidRPr="00AF5796">
          <w:rPr>
            <w:noProof/>
            <w:webHidden/>
          </w:rPr>
          <w:fldChar w:fldCharType="separate"/>
        </w:r>
        <w:r>
          <w:rPr>
            <w:noProof/>
            <w:webHidden/>
          </w:rPr>
          <w:t>8</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8" w:history="1">
        <w:r w:rsidR="00FF1466" w:rsidRPr="00AF5796">
          <w:rPr>
            <w:rStyle w:val="Hyperlink"/>
            <w:noProof/>
          </w:rPr>
          <w:t>4.2</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 xml:space="preserve">Estimations of global number of </w:t>
        </w:r>
        <w:r w:rsidR="00FF1466" w:rsidRPr="00AF5796">
          <w:rPr>
            <w:rStyle w:val="Hyperlink"/>
            <w:noProof/>
            <w:lang w:eastAsia="ja-JP"/>
          </w:rPr>
          <w:t>mobile subscriptions to 2030</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_Toc427935108 \h </w:instrText>
        </w:r>
        <w:r w:rsidR="00FF1466" w:rsidRPr="00AF5796">
          <w:rPr>
            <w:noProof/>
            <w:webHidden/>
          </w:rPr>
        </w:r>
        <w:r w:rsidR="00FF1466" w:rsidRPr="00AF5796">
          <w:rPr>
            <w:noProof/>
            <w:webHidden/>
          </w:rPr>
          <w:fldChar w:fldCharType="separate"/>
        </w:r>
        <w:r>
          <w:rPr>
            <w:noProof/>
            <w:webHidden/>
          </w:rPr>
          <w:t>11</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9" w:history="1">
        <w:r w:rsidR="00FF1466" w:rsidRPr="00AF5796">
          <w:rPr>
            <w:rStyle w:val="Hyperlink"/>
            <w:noProof/>
          </w:rPr>
          <w:t>5</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Global IMT traffic estimations to 2030</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_Toc427935109 \h </w:instrText>
        </w:r>
        <w:r w:rsidR="00FF1466" w:rsidRPr="00AF5796">
          <w:rPr>
            <w:noProof/>
            <w:webHidden/>
          </w:rPr>
        </w:r>
        <w:r w:rsidR="00FF1466" w:rsidRPr="00AF5796">
          <w:rPr>
            <w:noProof/>
            <w:webHidden/>
          </w:rPr>
          <w:fldChar w:fldCharType="separate"/>
        </w:r>
        <w:r>
          <w:rPr>
            <w:noProof/>
            <w:webHidden/>
          </w:rPr>
          <w:t>15</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0" w:history="1">
        <w:r w:rsidR="00FF1466" w:rsidRPr="00AF5796">
          <w:rPr>
            <w:rStyle w:val="Hyperlink"/>
            <w:noProof/>
            <w:lang w:eastAsia="ja-JP"/>
          </w:rPr>
          <w:t>5.1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lang w:eastAsia="ja-JP"/>
          </w:rPr>
          <w:t>Estimation 1</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_Toc427935110 \h </w:instrText>
        </w:r>
        <w:r w:rsidR="00FF1466" w:rsidRPr="00AF5796">
          <w:rPr>
            <w:noProof/>
            <w:webHidden/>
          </w:rPr>
        </w:r>
        <w:r w:rsidR="00FF1466" w:rsidRPr="00AF5796">
          <w:rPr>
            <w:noProof/>
            <w:webHidden/>
          </w:rPr>
          <w:fldChar w:fldCharType="separate"/>
        </w:r>
        <w:r>
          <w:rPr>
            <w:noProof/>
            <w:webHidden/>
          </w:rPr>
          <w:t>15</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1" w:history="1">
        <w:r w:rsidR="00FF1466" w:rsidRPr="00AF5796">
          <w:rPr>
            <w:rStyle w:val="Hyperlink"/>
            <w:noProof/>
            <w:lang w:eastAsia="ja-JP"/>
          </w:rPr>
          <w:t>5</w:t>
        </w:r>
        <w:r w:rsidR="00FF1466" w:rsidRPr="00AF5796">
          <w:rPr>
            <w:rStyle w:val="Hyperlink"/>
            <w:noProof/>
          </w:rPr>
          <w:t>.</w:t>
        </w:r>
        <w:r w:rsidR="00FF1466" w:rsidRPr="00AF5796">
          <w:rPr>
            <w:rStyle w:val="Hyperlink"/>
            <w:noProof/>
            <w:lang w:eastAsia="ja-JP"/>
          </w:rPr>
          <w:t>2</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Estimation 2</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_Toc427935111 \h </w:instrText>
        </w:r>
        <w:r w:rsidR="00FF1466" w:rsidRPr="00AF5796">
          <w:rPr>
            <w:noProof/>
            <w:webHidden/>
          </w:rPr>
        </w:r>
        <w:r w:rsidR="00FF1466" w:rsidRPr="00AF5796">
          <w:rPr>
            <w:noProof/>
            <w:webHidden/>
          </w:rPr>
          <w:fldChar w:fldCharType="separate"/>
        </w:r>
        <w:r>
          <w:rPr>
            <w:noProof/>
            <w:webHidden/>
          </w:rPr>
          <w:t>19</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2" w:history="1">
        <w:r w:rsidR="00FF1466" w:rsidRPr="00AF5796">
          <w:rPr>
            <w:rStyle w:val="Hyperlink"/>
            <w:noProof/>
            <w:lang w:eastAsia="ja-JP"/>
          </w:rPr>
          <w:t>5</w:t>
        </w:r>
        <w:r w:rsidR="00FF1466" w:rsidRPr="00AF5796">
          <w:rPr>
            <w:rStyle w:val="Hyperlink"/>
            <w:noProof/>
          </w:rPr>
          <w:t>.</w:t>
        </w:r>
        <w:r w:rsidR="00FF1466" w:rsidRPr="00AF5796">
          <w:rPr>
            <w:rStyle w:val="Hyperlink"/>
            <w:noProof/>
            <w:lang w:eastAsia="ja-JP"/>
          </w:rPr>
          <w:t>3</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Estimation 3</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_Toc427935112 \h </w:instrText>
        </w:r>
        <w:r w:rsidR="00FF1466" w:rsidRPr="00AF5796">
          <w:rPr>
            <w:noProof/>
            <w:webHidden/>
          </w:rPr>
        </w:r>
        <w:r w:rsidR="00FF1466" w:rsidRPr="00AF5796">
          <w:rPr>
            <w:noProof/>
            <w:webHidden/>
          </w:rPr>
          <w:fldChar w:fldCharType="separate"/>
        </w:r>
        <w:r>
          <w:rPr>
            <w:noProof/>
            <w:webHidden/>
          </w:rPr>
          <w:t>20</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13" w:history="1">
        <w:r w:rsidR="00FF1466" w:rsidRPr="00AF5796">
          <w:rPr>
            <w:rStyle w:val="Hyperlink"/>
            <w:noProof/>
          </w:rPr>
          <w:t>6</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_Toc427935113 \h </w:instrText>
        </w:r>
        <w:r w:rsidR="00FF1466" w:rsidRPr="00AF5796">
          <w:rPr>
            <w:noProof/>
            <w:webHidden/>
          </w:rPr>
        </w:r>
        <w:r w:rsidR="00FF1466" w:rsidRPr="00AF5796">
          <w:rPr>
            <w:noProof/>
            <w:webHidden/>
          </w:rPr>
          <w:fldChar w:fldCharType="separate"/>
        </w:r>
        <w:r>
          <w:rPr>
            <w:noProof/>
            <w:webHidden/>
          </w:rPr>
          <w:t>22</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4" w:history="1">
        <w:r w:rsidR="00FF1466" w:rsidRPr="00AF5796">
          <w:rPr>
            <w:rStyle w:val="Hyperlink"/>
            <w:noProof/>
          </w:rPr>
          <w:t>6.1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Description of traffic asymmetry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_Toc427935114 \h </w:instrText>
        </w:r>
        <w:r w:rsidR="00FF1466" w:rsidRPr="00AF5796">
          <w:rPr>
            <w:noProof/>
            <w:webHidden/>
          </w:rPr>
        </w:r>
        <w:r w:rsidR="00FF1466" w:rsidRPr="00AF5796">
          <w:rPr>
            <w:noProof/>
            <w:webHidden/>
          </w:rPr>
          <w:fldChar w:fldCharType="separate"/>
        </w:r>
        <w:r>
          <w:rPr>
            <w:noProof/>
            <w:webHidden/>
          </w:rPr>
          <w:t>22</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5" w:history="1">
        <w:r w:rsidR="00FF1466" w:rsidRPr="00AF5796">
          <w:rPr>
            <w:rStyle w:val="Hyperlink"/>
            <w:noProof/>
          </w:rPr>
          <w:t>6.2</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Examples of traffic asymmetry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_Toc427935115 \h </w:instrText>
        </w:r>
        <w:r w:rsidR="00FF1466" w:rsidRPr="00AF5796">
          <w:rPr>
            <w:noProof/>
            <w:webHidden/>
          </w:rPr>
        </w:r>
        <w:r w:rsidR="00FF1466" w:rsidRPr="00AF5796">
          <w:rPr>
            <w:noProof/>
            <w:webHidden/>
          </w:rPr>
          <w:fldChar w:fldCharType="separate"/>
        </w:r>
        <w:r>
          <w:rPr>
            <w:noProof/>
            <w:webHidden/>
          </w:rPr>
          <w:t>23</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6" w:history="1">
        <w:r w:rsidR="00FF1466" w:rsidRPr="00AF5796">
          <w:rPr>
            <w:rStyle w:val="Hyperlink"/>
            <w:noProof/>
          </w:rPr>
          <w:t>6.3</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 volumes in recent years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_Toc427935116 \h </w:instrText>
        </w:r>
        <w:r w:rsidR="00FF1466" w:rsidRPr="00AF5796">
          <w:rPr>
            <w:noProof/>
            <w:webHidden/>
          </w:rPr>
        </w:r>
        <w:r w:rsidR="00FF1466" w:rsidRPr="00AF5796">
          <w:rPr>
            <w:noProof/>
            <w:webHidden/>
          </w:rPr>
          <w:fldChar w:fldCharType="separate"/>
        </w:r>
        <w:r>
          <w:rPr>
            <w:noProof/>
            <w:webHidden/>
          </w:rPr>
          <w:t>24</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7" w:history="1">
        <w:r w:rsidR="00FF1466" w:rsidRPr="00AF5796">
          <w:rPr>
            <w:rStyle w:val="Hyperlink"/>
            <w:noProof/>
          </w:rPr>
          <w:t>6.4</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 estimation to 2024</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_Toc427935117 \h </w:instrText>
        </w:r>
        <w:r w:rsidR="00FF1466" w:rsidRPr="00AF5796">
          <w:rPr>
            <w:noProof/>
            <w:webHidden/>
          </w:rPr>
        </w:r>
        <w:r w:rsidR="00FF1466" w:rsidRPr="00AF5796">
          <w:rPr>
            <w:noProof/>
            <w:webHidden/>
          </w:rPr>
          <w:fldChar w:fldCharType="separate"/>
        </w:r>
        <w:r>
          <w:rPr>
            <w:noProof/>
            <w:webHidden/>
          </w:rPr>
          <w:t>26</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8" w:history="1">
        <w:r w:rsidR="00FF1466" w:rsidRPr="00AF5796">
          <w:rPr>
            <w:rStyle w:val="Hyperlink"/>
            <w:rFonts w:eastAsia="SimSun"/>
            <w:noProof/>
            <w:lang w:eastAsia="zh-CN"/>
          </w:rPr>
          <w:t>6.5</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 analysis</w:t>
        </w:r>
        <w:r w:rsidR="00FF1466" w:rsidRPr="00AF5796">
          <w:rPr>
            <w:rStyle w:val="Hyperlink"/>
            <w:rFonts w:eastAsia="SimSun"/>
            <w:noProof/>
            <w:lang w:eastAsia="zh-CN"/>
          </w:rPr>
          <w:t xml:space="preserve"> </w:t>
        </w:r>
        <w:r w:rsidR="00FF1466" w:rsidRPr="00AF5796">
          <w:rPr>
            <w:rStyle w:val="Hyperlink"/>
            <w:noProof/>
          </w:rPr>
          <w:t>in the space and time domains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_Toc427935118 \h </w:instrText>
        </w:r>
        <w:r w:rsidR="00FF1466" w:rsidRPr="00AF5796">
          <w:rPr>
            <w:noProof/>
            <w:webHidden/>
          </w:rPr>
        </w:r>
        <w:r w:rsidR="00FF1466" w:rsidRPr="00AF5796">
          <w:rPr>
            <w:noProof/>
            <w:webHidden/>
          </w:rPr>
          <w:fldChar w:fldCharType="separate"/>
        </w:r>
        <w:r>
          <w:rPr>
            <w:noProof/>
            <w:webHidden/>
          </w:rPr>
          <w:t>29</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19" w:history="1">
        <w:r w:rsidR="00FF1466" w:rsidRPr="00AF5796">
          <w:rPr>
            <w:rStyle w:val="Hyperlink"/>
            <w:noProof/>
          </w:rPr>
          <w:t>7</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Conclusions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_Toc427935119 \h </w:instrText>
        </w:r>
        <w:r w:rsidR="00FF1466" w:rsidRPr="00AF5796">
          <w:rPr>
            <w:noProof/>
            <w:webHidden/>
          </w:rPr>
        </w:r>
        <w:r w:rsidR="00FF1466" w:rsidRPr="00AF5796">
          <w:rPr>
            <w:noProof/>
            <w:webHidden/>
          </w:rPr>
          <w:fldChar w:fldCharType="separate"/>
        </w:r>
        <w:r>
          <w:rPr>
            <w:noProof/>
            <w:webHidden/>
          </w:rPr>
          <w:t>30</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0" w:history="1">
        <w:r w:rsidR="00FF1466" w:rsidRPr="00AF5796">
          <w:rPr>
            <w:rStyle w:val="Hyperlink"/>
            <w:rFonts w:eastAsia="Calibri"/>
            <w:noProof/>
          </w:rPr>
          <w:t>Annex 1 – Examples of basic esstimation methods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_Toc427935120 \h </w:instrText>
        </w:r>
        <w:r w:rsidR="00FF1466" w:rsidRPr="00AF5796">
          <w:rPr>
            <w:noProof/>
            <w:webHidden/>
          </w:rPr>
        </w:r>
        <w:r w:rsidR="00FF1466" w:rsidRPr="00AF5796">
          <w:rPr>
            <w:noProof/>
            <w:webHidden/>
          </w:rPr>
          <w:fldChar w:fldCharType="separate"/>
        </w:r>
        <w:r>
          <w:rPr>
            <w:noProof/>
            <w:webHidden/>
          </w:rPr>
          <w:t>31</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1" w:history="1">
        <w:r w:rsidR="00FF1466" w:rsidRPr="00AF5796">
          <w:rPr>
            <w:rStyle w:val="Hyperlink"/>
            <w:rFonts w:eastAsia="Calibri"/>
            <w:noProof/>
          </w:rPr>
          <w:t>Annex 2 – Country-specific information</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_Toc427935121 \h </w:instrText>
        </w:r>
        <w:r w:rsidR="00FF1466" w:rsidRPr="00AF5796">
          <w:rPr>
            <w:noProof/>
            <w:webHidden/>
          </w:rPr>
        </w:r>
        <w:r w:rsidR="00FF1466" w:rsidRPr="00AF5796">
          <w:rPr>
            <w:noProof/>
            <w:webHidden/>
          </w:rPr>
          <w:fldChar w:fldCharType="separate"/>
        </w:r>
        <w:r>
          <w:rPr>
            <w:noProof/>
            <w:webHidden/>
          </w:rPr>
          <w:t>32</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4" w:history="1">
        <w:r w:rsidR="00FF1466" w:rsidRPr="00AF5796">
          <w:rPr>
            <w:rStyle w:val="Hyperlink"/>
            <w:rFonts w:eastAsia="Calibri"/>
            <w:noProof/>
          </w:rPr>
          <w:t>Annex 3 – Some examples of subscribers’ traffic profiles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_Toc427935124 \h </w:instrText>
        </w:r>
        <w:r w:rsidR="00FF1466" w:rsidRPr="00AF5796">
          <w:rPr>
            <w:noProof/>
            <w:webHidden/>
          </w:rPr>
        </w:r>
        <w:r w:rsidR="00FF1466" w:rsidRPr="00AF5796">
          <w:rPr>
            <w:noProof/>
            <w:webHidden/>
          </w:rPr>
          <w:fldChar w:fldCharType="separate"/>
        </w:r>
        <w:r>
          <w:rPr>
            <w:noProof/>
            <w:webHidden/>
          </w:rPr>
          <w:t>40</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5" w:history="1">
        <w:r w:rsidR="00FF1466" w:rsidRPr="00AF5796">
          <w:rPr>
            <w:rStyle w:val="Hyperlink"/>
            <w:rFonts w:eastAsia="Calibri"/>
            <w:noProof/>
          </w:rPr>
          <w:t xml:space="preserve">Annex 4 – </w:t>
        </w:r>
        <w:r w:rsidR="00FF1466" w:rsidRPr="00AF5796">
          <w:rPr>
            <w:rStyle w:val="Hyperlink"/>
            <w:noProof/>
            <w:lang w:eastAsia="zh-CN"/>
          </w:rPr>
          <w:t>Traffic characteristics of future applications supported by IMT</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_Toc427935125 \h </w:instrText>
        </w:r>
        <w:r w:rsidR="00FF1466" w:rsidRPr="00AF5796">
          <w:rPr>
            <w:noProof/>
            <w:webHidden/>
          </w:rPr>
        </w:r>
        <w:r w:rsidR="00FF1466" w:rsidRPr="00AF5796">
          <w:rPr>
            <w:noProof/>
            <w:webHidden/>
          </w:rPr>
          <w:fldChar w:fldCharType="separate"/>
        </w:r>
        <w:r>
          <w:rPr>
            <w:noProof/>
            <w:webHidden/>
          </w:rPr>
          <w:t>44</w:t>
        </w:r>
        <w:r w:rsidR="00FF1466" w:rsidRPr="00AF5796">
          <w:rPr>
            <w:noProof/>
            <w:webHidden/>
          </w:rPr>
          <w:fldChar w:fldCharType="end"/>
        </w:r>
      </w:hyperlink>
    </w:p>
    <w:p w:rsidR="00FF1466" w:rsidRPr="00AF5796" w:rsidRDefault="00FF1466" w:rsidP="00FF1466">
      <w:pPr>
        <w:rPr>
          <w:lang w:val="en-US" w:eastAsia="zh-CN"/>
        </w:rPr>
      </w:pPr>
      <w:r w:rsidRPr="00AF5796">
        <w:rPr>
          <w:lang w:val="en-US" w:eastAsia="zh-CN"/>
        </w:rPr>
        <w:fldChar w:fldCharType="end"/>
      </w:r>
    </w:p>
    <w:p w:rsidR="005D2DA7" w:rsidRPr="00AF5796" w:rsidRDefault="005D2DA7" w:rsidP="00724411">
      <w:pPr>
        <w:pStyle w:val="Heading1"/>
        <w:rPr>
          <w:rFonts w:eastAsia="Calibri"/>
          <w:lang w:val="en-US"/>
        </w:rPr>
      </w:pPr>
      <w:bookmarkStart w:id="8" w:name="_Toc427932292"/>
      <w:bookmarkStart w:id="9" w:name="_Toc427935101"/>
      <w:r w:rsidRPr="00AF5796">
        <w:rPr>
          <w:rFonts w:eastAsia="Calibri"/>
          <w:lang w:val="en-US"/>
        </w:rPr>
        <w:lastRenderedPageBreak/>
        <w:t>1</w:t>
      </w:r>
      <w:r w:rsidRPr="00AF5796">
        <w:rPr>
          <w:rFonts w:eastAsia="Calibri"/>
          <w:lang w:val="en-US"/>
        </w:rPr>
        <w:tab/>
        <w:t>Introduction</w:t>
      </w:r>
      <w:bookmarkEnd w:id="8"/>
      <w:bookmarkEnd w:id="9"/>
      <w:r w:rsidRPr="00AF5796">
        <w:rPr>
          <w:rFonts w:eastAsia="Calibri"/>
          <w:lang w:val="en-US"/>
        </w:rPr>
        <w:t xml:space="preserve"> </w:t>
      </w:r>
    </w:p>
    <w:p w:rsidR="005D2DA7" w:rsidRPr="00AF5796" w:rsidRDefault="00AF5796" w:rsidP="00820003">
      <w:pPr>
        <w:rPr>
          <w:color w:val="000000"/>
          <w:lang w:val="en-US"/>
        </w:rPr>
      </w:pPr>
      <w:r>
        <w:rPr>
          <w:lang w:val="en-US"/>
        </w:rPr>
        <w:t>M</w:t>
      </w:r>
      <w:r w:rsidR="005D2DA7" w:rsidRPr="00AF5796">
        <w:rPr>
          <w:lang w:val="en-US"/>
        </w:rPr>
        <w:t xml:space="preserve">obile communication has become one of the largest and most significant platforms in history, transforming the way we communicate, experience entertainment and make use of the Internet. In May 2015, over the current world’s population of 7.3 billion, there were about 7.5 billion mobile subscriptions (including machine-to-machine/M2M) worldwide and </w:t>
      </w:r>
      <w:r w:rsidR="005D2DA7" w:rsidRPr="00AF5796">
        <w:rPr>
          <w:color w:val="000000"/>
          <w:lang w:val="en-US"/>
        </w:rPr>
        <w:t>about 3.7 billion people connected</w:t>
      </w:r>
      <w:r w:rsidR="00820003" w:rsidRPr="00AF5796">
        <w:rPr>
          <w:rStyle w:val="FootnoteReference"/>
          <w:color w:val="000000"/>
          <w:lang w:val="en-US"/>
        </w:rPr>
        <w:footnoteReference w:id="1"/>
      </w:r>
      <w:r w:rsidR="005D2DA7" w:rsidRPr="00AF5796">
        <w:rPr>
          <w:color w:val="000000"/>
          <w:lang w:val="en-US"/>
        </w:rPr>
        <w:t>. As many people have multiple subscriptions, the total number of subscriptions is higher than the number of people connected with mobile.</w:t>
      </w:r>
    </w:p>
    <w:p w:rsidR="005D2DA7" w:rsidRPr="00AF5796" w:rsidRDefault="005D2DA7" w:rsidP="005D2DA7">
      <w:pPr>
        <w:rPr>
          <w:lang w:val="en-US"/>
        </w:rPr>
      </w:pPr>
      <w:r w:rsidRPr="00AF5796">
        <w:rPr>
          <w:lang w:val="en-US"/>
        </w:rPr>
        <w:t>Mobile communications contribute positively to the economic and social developments of both developed and developing countries. The evolution of mobile communications toward mobile broadband (MBB)</w:t>
      </w:r>
      <w:r w:rsidRPr="00AF5796">
        <w:rPr>
          <w:rStyle w:val="FootnoteReference"/>
          <w:lang w:val="en-US"/>
        </w:rPr>
        <w:footnoteReference w:id="2"/>
      </w:r>
      <w:r w:rsidRPr="00AF5796">
        <w:rPr>
          <w:lang w:val="en-US"/>
        </w:rPr>
        <w:t xml:space="preserve"> results in a new opportunity to bridge the gap between Internet-connected and unconnected people. As of September 2014, 2.3 billion (or 30%) of mobile subscriptions were data subscriptions</w:t>
      </w:r>
      <w:bookmarkStart w:id="10" w:name="_Ref422143437"/>
      <w:r w:rsidRPr="00AF5796">
        <w:rPr>
          <w:rStyle w:val="FootnoteReference"/>
          <w:lang w:val="en-US"/>
        </w:rPr>
        <w:footnoteReference w:id="3"/>
      </w:r>
      <w:bookmarkEnd w:id="10"/>
      <w:r w:rsidRPr="00AF5796">
        <w:rPr>
          <w:lang w:val="en-US"/>
        </w:rPr>
        <w:t>. The spread of smart mobile devices – smartphones and tablets – and the associated innovative mobile broadband applications have resulted in an increase in the volume of mobile data traffic and it is still growing, putting more emphasis on MBB.</w:t>
      </w:r>
    </w:p>
    <w:p w:rsidR="005D2DA7" w:rsidRPr="00AF5796" w:rsidRDefault="005D2DA7" w:rsidP="005D2DA7">
      <w:pPr>
        <w:rPr>
          <w:lang w:val="en-US"/>
        </w:rPr>
      </w:pPr>
      <w:r w:rsidRPr="00AF5796">
        <w:rPr>
          <w:lang w:val="en-US"/>
        </w:rPr>
        <w:t>ITU-R has developed two documents on traffic, as well as spectrum requirements to 2020, namely:</w:t>
      </w:r>
    </w:p>
    <w:p w:rsidR="005D2DA7" w:rsidRPr="00AF5796" w:rsidRDefault="005D2DA7" w:rsidP="007908BE">
      <w:pPr>
        <w:pStyle w:val="enumlev1"/>
        <w:rPr>
          <w:lang w:val="en-US"/>
        </w:rPr>
      </w:pPr>
      <w:r w:rsidRPr="00AF5796">
        <w:rPr>
          <w:lang w:val="en-US"/>
        </w:rPr>
        <w:t>−</w:t>
      </w:r>
      <w:r w:rsidRPr="00AF5796">
        <w:rPr>
          <w:lang w:val="en-US"/>
        </w:rPr>
        <w:tab/>
      </w:r>
      <w:hyperlink r:id="rId15" w:history="1">
        <w:r w:rsidR="003903BC" w:rsidRPr="00AF5796">
          <w:rPr>
            <w:lang w:val="en-US"/>
          </w:rPr>
          <w:t>Report ITU-R M.2243</w:t>
        </w:r>
        <w:r w:rsidR="001B512B">
          <w:rPr>
            <w:lang w:val="en-US"/>
          </w:rPr>
          <w:t>-0</w:t>
        </w:r>
        <w:r w:rsidR="007908BE">
          <w:rPr>
            <w:lang w:val="en-US"/>
          </w:rPr>
          <w:t xml:space="preserve"> (11/2011) –</w:t>
        </w:r>
        <w:r w:rsidR="003903BC" w:rsidRPr="00AF5796">
          <w:rPr>
            <w:lang w:val="en-US"/>
          </w:rPr>
          <w:t xml:space="preserve"> Assessment</w:t>
        </w:r>
        <w:r w:rsidRPr="00AF5796">
          <w:rPr>
            <w:lang w:val="en-US"/>
          </w:rPr>
          <w:t xml:space="preserve"> of the global mobile broadband deployments and forecasts for International Mobile Telecommunications</w:t>
        </w:r>
      </w:hyperlink>
      <w:r w:rsidRPr="00AF5796">
        <w:rPr>
          <w:lang w:val="en-US"/>
        </w:rPr>
        <w:t>.</w:t>
      </w:r>
    </w:p>
    <w:p w:rsidR="005D2DA7" w:rsidRPr="00AF5796" w:rsidRDefault="005D2DA7" w:rsidP="007908BE">
      <w:pPr>
        <w:pStyle w:val="enumlev1"/>
        <w:rPr>
          <w:rFonts w:ascii="Calibri" w:eastAsia="Calibri" w:hAnsi="Calibri"/>
          <w:lang w:val="en-US"/>
        </w:rPr>
      </w:pPr>
      <w:r w:rsidRPr="00AF5796">
        <w:rPr>
          <w:lang w:val="en-US"/>
        </w:rPr>
        <w:t>−</w:t>
      </w:r>
      <w:r w:rsidRPr="00AF5796">
        <w:rPr>
          <w:lang w:val="en-US"/>
        </w:rPr>
        <w:tab/>
      </w:r>
      <w:hyperlink r:id="rId16" w:history="1">
        <w:r w:rsidRPr="00AF5796">
          <w:rPr>
            <w:lang w:val="en-US"/>
          </w:rPr>
          <w:t>Report ITU-R M.2290</w:t>
        </w:r>
        <w:r w:rsidR="001B512B">
          <w:rPr>
            <w:lang w:val="en-US"/>
          </w:rPr>
          <w:t>-0</w:t>
        </w:r>
        <w:r w:rsidR="007908BE">
          <w:rPr>
            <w:lang w:val="en-US"/>
          </w:rPr>
          <w:t xml:space="preserve"> (12/2013) –</w:t>
        </w:r>
        <w:r w:rsidRPr="00AF5796">
          <w:rPr>
            <w:lang w:val="en-US"/>
          </w:rPr>
          <w:t xml:space="preserve"> Future spectrum requirements estimate for terrestrial IMT.</w:t>
        </w:r>
      </w:hyperlink>
    </w:p>
    <w:p w:rsidR="005D2DA7" w:rsidRPr="00AF5796" w:rsidRDefault="005D2DA7" w:rsidP="005D2DA7">
      <w:pPr>
        <w:rPr>
          <w:lang w:val="en-US"/>
        </w:rPr>
      </w:pPr>
      <w:r w:rsidRPr="00AF5796">
        <w:rPr>
          <w:lang w:val="en-US"/>
        </w:rPr>
        <w:t xml:space="preserve">Report ITU-R M.2243 reviews both the market and traffic forecasts for IMT that were developed in previous study periods (2000-2007) and assesses the perspectives and future needs of MBB that would be supported by IMT until 2020. In addition, it provides traffic forecasts up to 2015, and in some cases up to 2020, taking into account new market trends and market drivers. </w:t>
      </w:r>
    </w:p>
    <w:p w:rsidR="005D2DA7" w:rsidRPr="00AF5796" w:rsidRDefault="005D2DA7" w:rsidP="005D2DA7">
      <w:pPr>
        <w:rPr>
          <w:lang w:val="en-US"/>
        </w:rPr>
      </w:pPr>
      <w:r w:rsidRPr="00AF5796">
        <w:rPr>
          <w:lang w:val="en-US"/>
        </w:rPr>
        <w:t>Report ITU-R M.2290 provides a global perspective on the future spectrum requirements estimate for terrestrial IMT. In order to estimate the spectrum requirements for 2020, this Report predicts future traffic growth up to 2020 and derived input parameters representing a possible set of global scenarios of the future mobile traffic growth.</w:t>
      </w:r>
    </w:p>
    <w:p w:rsidR="005D2DA7" w:rsidRPr="00AF5796" w:rsidRDefault="005D2DA7" w:rsidP="005D2DA7">
      <w:pPr>
        <w:rPr>
          <w:b/>
          <w:lang w:val="en-US"/>
        </w:rPr>
      </w:pPr>
      <w:r w:rsidRPr="00AF5796">
        <w:rPr>
          <w:lang w:val="en-US"/>
        </w:rPr>
        <w:t xml:space="preserve">The first Report shows that mobile data traffic has grown dramatically in the recent years; whilst the second Report predicts more growth still to come towards 2020. </w:t>
      </w:r>
    </w:p>
    <w:p w:rsidR="005D2DA7" w:rsidRPr="00AF5796" w:rsidRDefault="005D2DA7" w:rsidP="005D2DA7">
      <w:pPr>
        <w:rPr>
          <w:lang w:val="en-US"/>
        </w:rPr>
      </w:pPr>
      <w:r w:rsidRPr="00AF5796">
        <w:rPr>
          <w:rFonts w:eastAsia="Calibri"/>
          <w:color w:val="000000" w:themeColor="text1"/>
          <w:szCs w:val="22"/>
          <w:lang w:val="en-US"/>
        </w:rPr>
        <w:t>Building on</w:t>
      </w:r>
      <w:r w:rsidRPr="00AF5796">
        <w:rPr>
          <w:color w:val="000000" w:themeColor="text1"/>
          <w:lang w:val="en-US"/>
        </w:rPr>
        <w:t xml:space="preserve"> the </w:t>
      </w:r>
      <w:r w:rsidRPr="00AF5796">
        <w:rPr>
          <w:rFonts w:eastAsia="Calibri"/>
          <w:color w:val="000000" w:themeColor="text1"/>
          <w:szCs w:val="22"/>
          <w:lang w:val="en-US"/>
        </w:rPr>
        <w:t>Reports</w:t>
      </w:r>
      <w:r w:rsidRPr="00AF5796">
        <w:rPr>
          <w:rFonts w:eastAsia="Calibri"/>
          <w:szCs w:val="22"/>
          <w:lang w:val="en-US"/>
        </w:rPr>
        <w:t xml:space="preserve"> described above, this Report analyses trends impacting future IMT traffic growth beyond the year 2020 and estimates the traffic demands for the period 2020 to 2030. There are many drivers impacting future IMT traffic growth and the characteristics of the traffic that are envisaged to generate this growth are also described in this Report. These drivers are </w:t>
      </w:r>
      <w:r w:rsidRPr="00AF5796">
        <w:rPr>
          <w:lang w:val="en-US"/>
        </w:rPr>
        <w:t xml:space="preserve">expected to evolve over time, and this evolution will be different in each country due to social/economic differences. This results in a wide variation in national estimates of traffic in the period 2020-2030. Given this high degree of variability, the absence of a complete catalogue of all national estimates, and the inability to collect a broader sample of national estimates, this Report has focused on </w:t>
      </w:r>
      <w:r w:rsidRPr="00AF5796">
        <w:rPr>
          <w:i/>
          <w:iCs/>
          <w:lang w:val="en-US"/>
        </w:rPr>
        <w:t>global</w:t>
      </w:r>
      <w:r w:rsidRPr="00AF5796">
        <w:rPr>
          <w:lang w:val="en-US"/>
        </w:rPr>
        <w:t xml:space="preserve"> traffic forecasts for the period 2020-2030.</w:t>
      </w:r>
    </w:p>
    <w:p w:rsidR="005D2DA7" w:rsidRPr="00AF5796" w:rsidRDefault="005D2DA7" w:rsidP="00DA4CB8">
      <w:pPr>
        <w:pStyle w:val="Heading1"/>
        <w:rPr>
          <w:rFonts w:eastAsia="Calibri"/>
          <w:lang w:val="en-US"/>
        </w:rPr>
      </w:pPr>
      <w:bookmarkStart w:id="11" w:name="_Toc427932293"/>
      <w:bookmarkStart w:id="12" w:name="_Toc427935102"/>
      <w:r w:rsidRPr="00AF5796">
        <w:rPr>
          <w:rFonts w:eastAsia="Calibri"/>
          <w:lang w:val="en-US"/>
        </w:rPr>
        <w:lastRenderedPageBreak/>
        <w:t>2</w:t>
      </w:r>
      <w:r w:rsidRPr="00AF5796">
        <w:rPr>
          <w:rFonts w:eastAsia="Calibri"/>
          <w:lang w:val="en-US"/>
        </w:rPr>
        <w:tab/>
        <w:t xml:space="preserve">Related </w:t>
      </w:r>
      <w:r w:rsidRPr="00AF5796">
        <w:rPr>
          <w:rFonts w:eastAsia="Calibri"/>
          <w:lang w:val="en-US" w:eastAsia="zh-CN"/>
        </w:rPr>
        <w:t>ITU-R Recommendations and Reports</w:t>
      </w:r>
      <w:bookmarkEnd w:id="11"/>
      <w:bookmarkEnd w:id="12"/>
    </w:p>
    <w:p w:rsidR="005D2DA7" w:rsidRPr="00AF5796" w:rsidRDefault="005D2DA7" w:rsidP="001B512B">
      <w:pPr>
        <w:pStyle w:val="enumlev1"/>
        <w:ind w:left="0" w:firstLine="0"/>
        <w:rPr>
          <w:lang w:val="en-US"/>
        </w:rPr>
      </w:pPr>
      <w:r w:rsidRPr="00AF5796">
        <w:rPr>
          <w:lang w:val="en-US"/>
        </w:rPr>
        <w:t>Report ITU-R M.2243</w:t>
      </w:r>
      <w:r w:rsidR="001B512B">
        <w:rPr>
          <w:lang w:val="en-US"/>
        </w:rPr>
        <w:t>-0</w:t>
      </w:r>
      <w:r w:rsidRPr="00AF5796">
        <w:rPr>
          <w:lang w:val="en-US"/>
        </w:rPr>
        <w:t xml:space="preserve"> </w:t>
      </w:r>
      <w:r w:rsidR="007908BE">
        <w:rPr>
          <w:lang w:val="en-US"/>
        </w:rPr>
        <w:t xml:space="preserve">– </w:t>
      </w:r>
      <w:r w:rsidRPr="00AF5796">
        <w:rPr>
          <w:lang w:val="en-US"/>
        </w:rPr>
        <w:t>Assessment of the global mobile broadband deployments and forecasts for Internat</w:t>
      </w:r>
      <w:r w:rsidR="001B512B">
        <w:rPr>
          <w:lang w:val="en-US"/>
        </w:rPr>
        <w:t>ional Mobile Telecommunications</w:t>
      </w:r>
    </w:p>
    <w:p w:rsidR="005D2DA7" w:rsidRPr="00AF5796" w:rsidRDefault="003547D8" w:rsidP="001B512B">
      <w:pPr>
        <w:rPr>
          <w:lang w:val="en-US"/>
        </w:rPr>
      </w:pPr>
      <w:hyperlink r:id="rId17" w:history="1">
        <w:r w:rsidR="005D2DA7" w:rsidRPr="00AF5796">
          <w:rPr>
            <w:lang w:val="en-US"/>
          </w:rPr>
          <w:t>Report ITU-R M.2290</w:t>
        </w:r>
        <w:r w:rsidR="001B512B">
          <w:rPr>
            <w:lang w:val="en-US"/>
          </w:rPr>
          <w:t>-0</w:t>
        </w:r>
        <w:r w:rsidR="005D2DA7" w:rsidRPr="00AF5796">
          <w:rPr>
            <w:lang w:val="en-US"/>
          </w:rPr>
          <w:t xml:space="preserve"> </w:t>
        </w:r>
        <w:r w:rsidR="007908BE">
          <w:rPr>
            <w:lang w:val="en-US"/>
          </w:rPr>
          <w:t xml:space="preserve">– </w:t>
        </w:r>
        <w:r w:rsidR="005D2DA7" w:rsidRPr="00AF5796">
          <w:rPr>
            <w:lang w:val="en-US"/>
          </w:rPr>
          <w:t>Future spectrum requirements estimate for terrestrial IMT</w:t>
        </w:r>
      </w:hyperlink>
    </w:p>
    <w:p w:rsidR="005D2DA7" w:rsidRPr="00AF5796" w:rsidRDefault="005D2DA7" w:rsidP="005D2DA7">
      <w:pPr>
        <w:pStyle w:val="Heading1"/>
        <w:rPr>
          <w:rFonts w:ascii="Calibri" w:eastAsia="Calibri" w:hAnsi="Calibri"/>
          <w:sz w:val="22"/>
          <w:lang w:val="en-US"/>
        </w:rPr>
      </w:pPr>
      <w:bookmarkStart w:id="13" w:name="_Toc427932294"/>
      <w:bookmarkStart w:id="14" w:name="_Toc427935103"/>
      <w:r w:rsidRPr="00AF5796">
        <w:rPr>
          <w:rFonts w:eastAsia="Calibri"/>
          <w:lang w:val="en-US"/>
        </w:rPr>
        <w:t>3</w:t>
      </w:r>
      <w:r w:rsidRPr="00AF5796">
        <w:rPr>
          <w:rFonts w:eastAsia="Calibri"/>
          <w:lang w:val="en-US"/>
        </w:rPr>
        <w:tab/>
        <w:t>Trends impacting traffic estimation beyond 2020</w:t>
      </w:r>
      <w:bookmarkEnd w:id="13"/>
      <w:bookmarkEnd w:id="14"/>
    </w:p>
    <w:p w:rsidR="005D2DA7" w:rsidRPr="00AF5796" w:rsidRDefault="005D2DA7" w:rsidP="00873048">
      <w:pPr>
        <w:pStyle w:val="Heading2"/>
        <w:rPr>
          <w:rFonts w:ascii="timesnewroman" w:eastAsia="Calibri" w:hAnsi="timesnewroman"/>
          <w:sz w:val="22"/>
          <w:szCs w:val="22"/>
          <w:lang w:val="en-US"/>
        </w:rPr>
      </w:pPr>
      <w:bookmarkStart w:id="15" w:name="_Toc427932295"/>
      <w:bookmarkStart w:id="16" w:name="_Toc427935104"/>
      <w:r w:rsidRPr="00AF5796">
        <w:rPr>
          <w:rFonts w:eastAsia="Calibri"/>
          <w:szCs w:val="22"/>
          <w:lang w:val="en-US"/>
        </w:rPr>
        <w:t>3.1</w:t>
      </w:r>
      <w:r w:rsidRPr="00AF5796">
        <w:rPr>
          <w:lang w:val="en-US"/>
        </w:rPr>
        <w:tab/>
        <w:t>Drivers</w:t>
      </w:r>
      <w:bookmarkEnd w:id="15"/>
      <w:bookmarkEnd w:id="16"/>
    </w:p>
    <w:p w:rsidR="005D2DA7" w:rsidRPr="00AF5796" w:rsidRDefault="005D2DA7" w:rsidP="005D2DA7">
      <w:pPr>
        <w:rPr>
          <w:lang w:val="en-US"/>
        </w:rPr>
      </w:pPr>
      <w:r w:rsidRPr="00AF5796">
        <w:rPr>
          <w:lang w:val="en-US"/>
        </w:rPr>
        <w:t>There are many drivers influencing the growth of future IMT traffic such as the adoption of IMT</w:t>
      </w:r>
      <w:r w:rsidRPr="00AF5796">
        <w:rPr>
          <w:lang w:val="en-US"/>
        </w:rPr>
        <w:noBreakHyphen/>
        <w:t>2020</w:t>
      </w:r>
      <w:r w:rsidRPr="00AF5796">
        <w:rPr>
          <w:rStyle w:val="FootnoteReference"/>
          <w:lang w:val="en-US"/>
        </w:rPr>
        <w:footnoteReference w:id="4"/>
      </w:r>
      <w:r w:rsidRPr="00AF5796">
        <w:rPr>
          <w:lang w:val="en-US"/>
        </w:rPr>
        <w:t xml:space="preserve"> devices with enhanced capabilities that require increased bit-rates and bandwidth, increased video usage, device proliferation and application uptake. Similar drivers increased traffic in the transition from IMT-2000 to IMT-Advanced.</w:t>
      </w:r>
    </w:p>
    <w:p w:rsidR="005D2DA7" w:rsidRPr="00AF5796" w:rsidRDefault="005D2DA7" w:rsidP="005D2DA7">
      <w:pPr>
        <w:tabs>
          <w:tab w:val="left" w:pos="0"/>
        </w:tabs>
        <w:rPr>
          <w:lang w:val="en-US"/>
        </w:rPr>
      </w:pPr>
      <w:r w:rsidRPr="00AF5796">
        <w:rPr>
          <w:rFonts w:eastAsia="Calibri"/>
          <w:szCs w:val="22"/>
          <w:lang w:val="en-US"/>
        </w:rPr>
        <w:t>The main drivers behind the anticipated traffic growth are</w:t>
      </w:r>
      <w:r w:rsidRPr="00AF5796">
        <w:rPr>
          <w:rStyle w:val="FootnoteReference"/>
          <w:rFonts w:eastAsia="Calibri"/>
          <w:szCs w:val="22"/>
          <w:lang w:val="en-US"/>
        </w:rPr>
        <w:footnoteReference w:id="5"/>
      </w:r>
      <w:r w:rsidRPr="00AF5796">
        <w:rPr>
          <w:rFonts w:eastAsia="Calibri"/>
          <w:szCs w:val="22"/>
          <w:lang w:val="en-US"/>
        </w:rPr>
        <w:t>:</w:t>
      </w:r>
    </w:p>
    <w:p w:rsidR="005D2DA7" w:rsidRPr="00AF5796" w:rsidRDefault="005D2DA7" w:rsidP="005D2DA7">
      <w:pPr>
        <w:pStyle w:val="enumlev1"/>
        <w:rPr>
          <w:rFonts w:eastAsia="Calibri"/>
          <w:lang w:val="en-US"/>
        </w:rPr>
      </w:pPr>
      <w:r w:rsidRPr="00AF5796">
        <w:rPr>
          <w:rFonts w:eastAsia="Calibri"/>
          <w:i/>
          <w:lang w:val="en-US"/>
        </w:rPr>
        <w:t>–</w:t>
      </w:r>
      <w:r w:rsidRPr="00AF5796">
        <w:rPr>
          <w:rFonts w:eastAsia="Calibri"/>
          <w:i/>
          <w:lang w:val="en-US"/>
        </w:rPr>
        <w:tab/>
        <w:t>Video</w:t>
      </w:r>
      <w:r w:rsidRPr="00AF5796">
        <w:rPr>
          <w:i/>
          <w:lang w:val="en-US"/>
        </w:rPr>
        <w:t xml:space="preserve"> </w:t>
      </w:r>
      <w:r w:rsidRPr="00AF5796">
        <w:rPr>
          <w:i/>
          <w:szCs w:val="24"/>
          <w:lang w:val="en-US"/>
        </w:rPr>
        <w:t>usage</w:t>
      </w:r>
      <w:r w:rsidRPr="00992CB1">
        <w:rPr>
          <w:rFonts w:eastAsia="Calibri"/>
          <w:iCs/>
          <w:lang w:val="en-US"/>
        </w:rPr>
        <w:t>:</w:t>
      </w:r>
      <w:r w:rsidR="004B56F3" w:rsidRPr="00AF5796">
        <w:rPr>
          <w:rFonts w:eastAsia="Calibri"/>
          <w:lang w:val="en-US"/>
        </w:rPr>
        <w:t xml:space="preserve"> U</w:t>
      </w:r>
      <w:r w:rsidRPr="00AF5796">
        <w:rPr>
          <w:rFonts w:eastAsia="Calibri"/>
          <w:lang w:val="en-US"/>
        </w:rPr>
        <w:t xml:space="preserve">sage of video-on-demand services will continue to grow and resolution of these videos will continue to increase. By 2020, it is expected that people will want to watch high-resolution </w:t>
      </w:r>
      <w:r w:rsidRPr="00AF5796">
        <w:rPr>
          <w:lang w:val="en-US"/>
        </w:rPr>
        <w:t>audio-visual</w:t>
      </w:r>
      <w:r w:rsidRPr="00AF5796">
        <w:rPr>
          <w:rFonts w:eastAsia="Calibri"/>
          <w:lang w:val="en-US"/>
        </w:rPr>
        <w:t xml:space="preserve"> content (HD/UHD)</w:t>
      </w:r>
      <w:r w:rsidRPr="00AF5796">
        <w:rPr>
          <w:lang w:val="en-US"/>
        </w:rPr>
        <w:t>,</w:t>
      </w:r>
      <w:r w:rsidRPr="00AF5796">
        <w:rPr>
          <w:rFonts w:eastAsia="Calibri"/>
          <w:lang w:val="en-US"/>
        </w:rPr>
        <w:t xml:space="preserve"> regardless of the way the content </w:t>
      </w:r>
      <w:r w:rsidRPr="00AF5796">
        <w:rPr>
          <w:lang w:val="en-US"/>
        </w:rPr>
        <w:t>is</w:t>
      </w:r>
      <w:r w:rsidRPr="00AF5796">
        <w:rPr>
          <w:rFonts w:eastAsia="Calibri"/>
          <w:lang w:val="en-US"/>
        </w:rPr>
        <w:t xml:space="preserve"> delivered. A study by Bell Labs estimates that by 2016 video streaming will account for almost two-thirds of all mobile traffic.</w:t>
      </w:r>
    </w:p>
    <w:p w:rsidR="005D2DA7" w:rsidRPr="00AF5796" w:rsidRDefault="005D2DA7" w:rsidP="005D2DA7">
      <w:pPr>
        <w:pStyle w:val="enumlev1"/>
        <w:rPr>
          <w:szCs w:val="24"/>
          <w:lang w:val="en-US"/>
        </w:rPr>
      </w:pPr>
      <w:r w:rsidRPr="00AF5796">
        <w:rPr>
          <w:rFonts w:eastAsia="Calibri"/>
          <w:i/>
          <w:color w:val="000000"/>
          <w:szCs w:val="22"/>
          <w:lang w:val="en-US"/>
        </w:rPr>
        <w:t>–</w:t>
      </w:r>
      <w:r w:rsidRPr="00AF5796">
        <w:rPr>
          <w:rFonts w:eastAsia="Calibri"/>
          <w:i/>
          <w:color w:val="000000"/>
          <w:szCs w:val="22"/>
          <w:lang w:val="en-US"/>
        </w:rPr>
        <w:tab/>
        <w:t>Device proliferation</w:t>
      </w:r>
      <w:r w:rsidRPr="00992CB1">
        <w:rPr>
          <w:rFonts w:eastAsia="Calibri"/>
          <w:iCs/>
          <w:color w:val="000000"/>
          <w:szCs w:val="22"/>
          <w:lang w:val="en-US"/>
        </w:rPr>
        <w:t>:</w:t>
      </w:r>
      <w:r w:rsidRPr="00AF5796">
        <w:rPr>
          <w:rFonts w:eastAsia="Calibri"/>
          <w:color w:val="000000"/>
          <w:szCs w:val="22"/>
          <w:lang w:val="en-US"/>
        </w:rPr>
        <w:t xml:space="preserve"> </w:t>
      </w:r>
      <w:r w:rsidRPr="00AF5796">
        <w:rPr>
          <w:szCs w:val="24"/>
          <w:lang w:val="en-US"/>
        </w:rPr>
        <w:t>In 2016, about 1</w:t>
      </w:r>
      <w:r w:rsidRPr="00AF5796">
        <w:rPr>
          <w:rFonts w:eastAsia="Calibri"/>
          <w:szCs w:val="22"/>
          <w:lang w:val="en-US"/>
        </w:rPr>
        <w:t xml:space="preserve"> in </w:t>
      </w:r>
      <w:r w:rsidRPr="00AF5796">
        <w:rPr>
          <w:szCs w:val="24"/>
          <w:lang w:val="en-US"/>
        </w:rPr>
        <w:t>7</w:t>
      </w:r>
      <w:r w:rsidRPr="00AF5796">
        <w:rPr>
          <w:rFonts w:eastAsia="Calibri"/>
          <w:szCs w:val="22"/>
          <w:lang w:val="en-US"/>
        </w:rPr>
        <w:t xml:space="preserve"> people </w:t>
      </w:r>
      <w:r w:rsidRPr="00AF5796">
        <w:rPr>
          <w:szCs w:val="24"/>
          <w:lang w:val="en-US"/>
        </w:rPr>
        <w:t xml:space="preserve">(or about 1 billion) are forecasted to </w:t>
      </w:r>
      <w:r w:rsidRPr="00AF5796">
        <w:rPr>
          <w:rFonts w:eastAsia="Calibri"/>
          <w:szCs w:val="22"/>
          <w:lang w:val="en-US"/>
        </w:rPr>
        <w:t xml:space="preserve">purchase new </w:t>
      </w:r>
      <w:r w:rsidRPr="00AF5796">
        <w:rPr>
          <w:szCs w:val="24"/>
          <w:lang w:val="en-US"/>
        </w:rPr>
        <w:t>smartphones. By</w:t>
      </w:r>
      <w:r w:rsidRPr="00AF5796">
        <w:rPr>
          <w:rFonts w:eastAsia="Calibri"/>
          <w:szCs w:val="22"/>
          <w:lang w:val="en-US"/>
        </w:rPr>
        <w:t xml:space="preserve"> 2017, </w:t>
      </w:r>
      <w:r w:rsidRPr="00AF5796">
        <w:rPr>
          <w:szCs w:val="24"/>
          <w:lang w:val="en-US"/>
        </w:rPr>
        <w:t xml:space="preserve">more than 1.4 billion smartphones and </w:t>
      </w:r>
      <w:r w:rsidRPr="00AF5796">
        <w:rPr>
          <w:rFonts w:eastAsia="Calibri"/>
          <w:szCs w:val="22"/>
          <w:lang w:val="en-US"/>
        </w:rPr>
        <w:t xml:space="preserve">tablets </w:t>
      </w:r>
      <w:r w:rsidRPr="00AF5796">
        <w:rPr>
          <w:szCs w:val="24"/>
          <w:lang w:val="en-US"/>
        </w:rPr>
        <w:t>will ship, becoming</w:t>
      </w:r>
      <w:r w:rsidRPr="00AF5796">
        <w:rPr>
          <w:rFonts w:eastAsia="Calibri"/>
          <w:szCs w:val="22"/>
          <w:lang w:val="en-US"/>
        </w:rPr>
        <w:t xml:space="preserve"> the fastest-growing category of consumer electronics</w:t>
      </w:r>
      <w:r w:rsidRPr="00AF5796">
        <w:rPr>
          <w:rStyle w:val="FootnoteReference"/>
          <w:szCs w:val="24"/>
          <w:lang w:val="en-US"/>
        </w:rPr>
        <w:footnoteReference w:id="6"/>
      </w:r>
      <w:r w:rsidRPr="00AF5796">
        <w:rPr>
          <w:szCs w:val="24"/>
          <w:lang w:val="en-US"/>
        </w:rPr>
        <w:t>.</w:t>
      </w:r>
    </w:p>
    <w:p w:rsidR="005D2DA7" w:rsidRPr="00AF5796" w:rsidRDefault="005D2DA7" w:rsidP="003903BC">
      <w:pPr>
        <w:pStyle w:val="enumlev1"/>
        <w:rPr>
          <w:lang w:val="en-US"/>
        </w:rPr>
      </w:pPr>
      <w:r w:rsidRPr="00AF5796">
        <w:rPr>
          <w:lang w:val="en-US"/>
        </w:rPr>
        <w:t>–</w:t>
      </w:r>
      <w:r w:rsidRPr="00AF5796">
        <w:rPr>
          <w:lang w:val="en-US"/>
        </w:rPr>
        <w:tab/>
      </w:r>
      <w:r w:rsidRPr="00AF5796">
        <w:rPr>
          <w:i/>
          <w:lang w:val="en-US"/>
        </w:rPr>
        <w:t>Application uptake</w:t>
      </w:r>
      <w:r w:rsidRPr="00AF5796">
        <w:rPr>
          <w:lang w:val="en-US"/>
        </w:rPr>
        <w:t xml:space="preserve">: The rate at which applications are being adopted is accelerating. </w:t>
      </w:r>
      <w:r w:rsidRPr="00AF5796">
        <w:rPr>
          <w:lang w:val="en-US"/>
        </w:rPr>
        <w:br/>
        <w:t>The annual global downloading of applications was 102 billion apps in 2013 and will grow to 270 billion in 2017</w:t>
      </w:r>
      <w:r w:rsidRPr="00AF5796">
        <w:rPr>
          <w:rStyle w:val="FootnoteReference"/>
          <w:lang w:val="en-US"/>
        </w:rPr>
        <w:footnoteReference w:id="7"/>
      </w:r>
      <w:r w:rsidRPr="00AF5796">
        <w:rPr>
          <w:lang w:val="en-US"/>
        </w:rPr>
        <w:t xml:space="preserve"> (139, 180 and 225 billion in 2014, 2015 and 2016, respectively). It should be noted that most applications are not used more than once after being downloaded. This mobile application uptake and the usage of those will contribute to increased mobile broadband traffic and, in addition, the amount of regular updates/upgrades to those hundreds of billions applications will also increase mobile broadband traffic.</w:t>
      </w:r>
    </w:p>
    <w:p w:rsidR="005D2DA7" w:rsidRPr="00AF5796" w:rsidRDefault="005D2DA7" w:rsidP="005D2DA7">
      <w:pPr>
        <w:tabs>
          <w:tab w:val="left" w:pos="0"/>
        </w:tabs>
        <w:rPr>
          <w:rFonts w:eastAsia="Calibri"/>
          <w:szCs w:val="22"/>
          <w:lang w:val="en-US"/>
        </w:rPr>
      </w:pPr>
      <w:r w:rsidRPr="00AF5796">
        <w:rPr>
          <w:lang w:val="en-US"/>
        </w:rPr>
        <w:t>In addition to these major drivers of data traffic growth, there are other characteristics and trends that are expected to impact the overall traffic demand in 2020-2025 and beyond.</w:t>
      </w:r>
    </w:p>
    <w:p w:rsidR="005D2DA7" w:rsidRPr="00AF5796" w:rsidRDefault="005D2DA7" w:rsidP="005D2DA7">
      <w:pPr>
        <w:tabs>
          <w:tab w:val="left" w:pos="0"/>
        </w:tabs>
        <w:rPr>
          <w:rFonts w:eastAsia="Calibri"/>
          <w:szCs w:val="22"/>
          <w:lang w:val="en-US"/>
        </w:rPr>
      </w:pPr>
      <w:r w:rsidRPr="00AF5796">
        <w:rPr>
          <w:rFonts w:eastAsia="Calibri"/>
          <w:szCs w:val="22"/>
          <w:lang w:val="en-US"/>
        </w:rPr>
        <w:t xml:space="preserve">Some of the key ones are </w:t>
      </w:r>
      <w:r w:rsidRPr="00AF5796">
        <w:rPr>
          <w:lang w:val="en-US"/>
        </w:rPr>
        <w:t xml:space="preserve">illustrated in </w:t>
      </w:r>
      <w:r w:rsidR="00934A49" w:rsidRPr="00AF5796">
        <w:rPr>
          <w:lang w:val="en-US"/>
        </w:rPr>
        <w:t xml:space="preserve">Fig. </w:t>
      </w:r>
      <w:r w:rsidRPr="00AF5796">
        <w:rPr>
          <w:lang w:val="en-US"/>
        </w:rPr>
        <w:t>1 followed by some further details</w:t>
      </w:r>
      <w:r w:rsidRPr="00AF5796">
        <w:rPr>
          <w:rFonts w:eastAsia="Calibri"/>
          <w:szCs w:val="22"/>
          <w:lang w:val="en-US"/>
        </w:rPr>
        <w:t>:</w:t>
      </w:r>
    </w:p>
    <w:p w:rsidR="005D2DA7" w:rsidRPr="00AF5796" w:rsidRDefault="005D2DA7" w:rsidP="005D2DA7">
      <w:pPr>
        <w:pStyle w:val="FigureNo"/>
        <w:rPr>
          <w:lang w:val="en-US"/>
        </w:rPr>
      </w:pPr>
      <w:r w:rsidRPr="00AF5796">
        <w:rPr>
          <w:lang w:val="en-US" w:eastAsia="zh-CN"/>
        </w:rPr>
        <w:lastRenderedPageBreak/>
        <w:t>Figure</w:t>
      </w:r>
      <w:r w:rsidRPr="00AF5796">
        <w:rPr>
          <w:lang w:val="en-US"/>
        </w:rPr>
        <w:t xml:space="preserve"> 1</w:t>
      </w:r>
    </w:p>
    <w:p w:rsidR="005D2DA7" w:rsidRPr="00AF5796" w:rsidRDefault="005D2DA7" w:rsidP="005D2DA7">
      <w:pPr>
        <w:pStyle w:val="Figuretitle"/>
        <w:rPr>
          <w:lang w:val="en-US"/>
        </w:rPr>
      </w:pPr>
      <w:r w:rsidRPr="00AF5796">
        <w:rPr>
          <w:lang w:val="en-US"/>
        </w:rPr>
        <w:t>Drivers for future traffic increase</w:t>
      </w:r>
    </w:p>
    <w:p w:rsidR="005D2DA7" w:rsidRPr="00AF5796" w:rsidRDefault="005D2DA7" w:rsidP="004B56F3">
      <w:pPr>
        <w:pStyle w:val="Figure"/>
        <w:rPr>
          <w:lang w:val="en-US"/>
        </w:rPr>
      </w:pPr>
      <w:r w:rsidRPr="00AF5796">
        <w:rPr>
          <w:noProof/>
          <w:lang w:val="en-US" w:eastAsia="zh-CN"/>
        </w:rPr>
        <w:drawing>
          <wp:inline distT="0" distB="0" distL="0" distR="0" wp14:anchorId="6EC6E700" wp14:editId="5F98CB5B">
            <wp:extent cx="6041390" cy="3773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1390" cy="3773805"/>
                    </a:xfrm>
                    <a:prstGeom prst="rect">
                      <a:avLst/>
                    </a:prstGeom>
                    <a:noFill/>
                  </pic:spPr>
                </pic:pic>
              </a:graphicData>
            </a:graphic>
          </wp:inline>
        </w:drawing>
      </w:r>
    </w:p>
    <w:p w:rsidR="005D2DA7" w:rsidRPr="00AF5796" w:rsidRDefault="005D2DA7" w:rsidP="00873048">
      <w:pPr>
        <w:pStyle w:val="enumlev1"/>
        <w:rPr>
          <w:lang w:val="en-US"/>
        </w:rPr>
      </w:pPr>
      <w:r w:rsidRPr="00AF5796">
        <w:rPr>
          <w:lang w:val="en-US"/>
        </w:rPr>
        <w:t>–</w:t>
      </w:r>
      <w:r w:rsidRPr="00AF5796">
        <w:rPr>
          <w:lang w:val="en-US"/>
        </w:rPr>
        <w:tab/>
      </w:r>
      <w:r w:rsidRPr="00AF5796">
        <w:rPr>
          <w:b/>
          <w:color w:val="000000" w:themeColor="text1"/>
          <w:szCs w:val="24"/>
          <w:lang w:val="en-US"/>
        </w:rPr>
        <w:t>Accelerated deployment of</w:t>
      </w:r>
      <w:r w:rsidRPr="00AF5796">
        <w:rPr>
          <w:b/>
          <w:color w:val="1F497D"/>
          <w:szCs w:val="24"/>
          <w:lang w:val="en-US"/>
        </w:rPr>
        <w:t xml:space="preserve"> </w:t>
      </w:r>
      <w:r w:rsidRPr="00AF5796">
        <w:rPr>
          <w:b/>
          <w:color w:val="000000" w:themeColor="text1"/>
          <w:szCs w:val="24"/>
          <w:lang w:val="en-US"/>
        </w:rPr>
        <w:t>new IMT technologies (IMT-2020)</w:t>
      </w:r>
      <w:r w:rsidRPr="00AF5796">
        <w:rPr>
          <w:color w:val="000000" w:themeColor="text1"/>
          <w:szCs w:val="24"/>
          <w:lang w:val="en-US"/>
        </w:rPr>
        <w:t>:</w:t>
      </w:r>
      <w:r w:rsidRPr="00AF5796">
        <w:rPr>
          <w:lang w:val="en-US"/>
        </w:rPr>
        <w:t xml:space="preserve"> New technologies will increase the bit-rates and </w:t>
      </w:r>
      <w:r w:rsidR="006F1816" w:rsidRPr="00AF5796">
        <w:rPr>
          <w:lang w:val="en-US"/>
        </w:rPr>
        <w:t xml:space="preserve">quality </w:t>
      </w:r>
      <w:r w:rsidRPr="00AF5796">
        <w:rPr>
          <w:lang w:val="en-US"/>
        </w:rPr>
        <w:t xml:space="preserve">of </w:t>
      </w:r>
      <w:r w:rsidR="006F1816" w:rsidRPr="00AF5796">
        <w:rPr>
          <w:lang w:val="en-US"/>
        </w:rPr>
        <w:t xml:space="preserve">experience </w:t>
      </w:r>
      <w:r w:rsidRPr="00AF5796">
        <w:rPr>
          <w:lang w:val="en-US"/>
        </w:rPr>
        <w:t>(QoE)</w:t>
      </w:r>
      <w:r w:rsidRPr="00AF5796">
        <w:rPr>
          <w:rStyle w:val="FootnoteReference"/>
          <w:lang w:val="en-US"/>
        </w:rPr>
        <w:footnoteReference w:id="8"/>
      </w:r>
      <w:r w:rsidRPr="00AF5796">
        <w:rPr>
          <w:lang w:val="en-US"/>
        </w:rPr>
        <w:t>, which will also increase customer demand and decreases the cost/MB. This reduces the price to customers which in turn creates more demand (price/demand elasticity).</w:t>
      </w:r>
    </w:p>
    <w:p w:rsidR="005D2DA7" w:rsidRPr="00AF5796" w:rsidRDefault="005D2DA7" w:rsidP="00873048">
      <w:pPr>
        <w:pStyle w:val="enumlev1"/>
        <w:rPr>
          <w:lang w:val="en-US"/>
        </w:rPr>
      </w:pPr>
      <w:r w:rsidRPr="00AF5796">
        <w:rPr>
          <w:lang w:val="en-US"/>
        </w:rPr>
        <w:t>–</w:t>
      </w:r>
      <w:r w:rsidRPr="00AF5796">
        <w:rPr>
          <w:lang w:val="en-US"/>
        </w:rPr>
        <w:tab/>
      </w:r>
      <w:r w:rsidRPr="00AF5796">
        <w:rPr>
          <w:b/>
          <w:color w:val="000000" w:themeColor="text1"/>
          <w:lang w:val="en-US"/>
        </w:rPr>
        <w:t>Machine–to-</w:t>
      </w:r>
      <w:r w:rsidR="006F1816" w:rsidRPr="00AF5796">
        <w:rPr>
          <w:b/>
          <w:color w:val="000000" w:themeColor="text1"/>
          <w:lang w:val="en-US"/>
        </w:rPr>
        <w:t xml:space="preserve">machine </w:t>
      </w:r>
      <w:r w:rsidRPr="00AF5796">
        <w:rPr>
          <w:b/>
          <w:color w:val="000000" w:themeColor="text1"/>
          <w:lang w:val="en-US"/>
        </w:rPr>
        <w:t>(M2M)</w:t>
      </w:r>
      <w:r w:rsidRPr="00AF5796">
        <w:rPr>
          <w:color w:val="1F497D"/>
          <w:szCs w:val="24"/>
          <w:lang w:val="en-US"/>
        </w:rPr>
        <w:t xml:space="preserve"> </w:t>
      </w:r>
      <w:r w:rsidRPr="00AF5796">
        <w:rPr>
          <w:szCs w:val="24"/>
          <w:lang w:val="en-US"/>
        </w:rPr>
        <w:t>applications</w:t>
      </w:r>
      <w:r w:rsidRPr="00AF5796">
        <w:rPr>
          <w:lang w:val="en-US"/>
        </w:rPr>
        <w:t xml:space="preserve"> and devices are also one of the fastest growing segments for MBB usage and, eventually, increased mobile data demand. Billions more machines will potentially utilise mobile networks to access online services and connect with each other. While most M2M devices will be connected to a smartphone or a car or another connected device for their own communication; each device could have separate charges/subscriptions. The amount of M2M connections could be several orders of magnitude larger than the world population. </w:t>
      </w:r>
    </w:p>
    <w:p w:rsidR="005D2DA7" w:rsidRPr="00AF5796" w:rsidRDefault="005D2DA7" w:rsidP="00873048">
      <w:pPr>
        <w:pStyle w:val="enumlev1"/>
        <w:rPr>
          <w:rFonts w:ascii="Calibri" w:eastAsia="Calibri" w:hAnsi="Calibri"/>
          <w:sz w:val="22"/>
          <w:lang w:val="en-US"/>
        </w:rPr>
      </w:pPr>
      <w:r w:rsidRPr="00AF5796">
        <w:rPr>
          <w:lang w:val="en-US"/>
        </w:rPr>
        <w:t>–</w:t>
      </w:r>
      <w:r w:rsidRPr="00AF5796">
        <w:rPr>
          <w:lang w:val="en-US"/>
        </w:rPr>
        <w:tab/>
      </w:r>
      <w:r w:rsidRPr="00AF5796">
        <w:rPr>
          <w:b/>
          <w:color w:val="000000" w:themeColor="text1"/>
          <w:lang w:val="en-US"/>
        </w:rPr>
        <w:t>Enhanced screen resolution/content offering</w:t>
      </w:r>
      <w:r w:rsidRPr="00AF5796">
        <w:rPr>
          <w:color w:val="1F497D"/>
          <w:szCs w:val="24"/>
          <w:lang w:val="en-US"/>
        </w:rPr>
        <w:t>:</w:t>
      </w:r>
      <w:r w:rsidRPr="00AF5796">
        <w:rPr>
          <w:lang w:val="en-US"/>
        </w:rPr>
        <w:t xml:space="preserve"> Improvements in the resolution (screen) capabilities (e.g. 4K UHD, etc.) and increasing demand for video downloading and streaming  leads to more traffic on mobile networks consumed on devices such as smartphones or tablets.</w:t>
      </w:r>
    </w:p>
    <w:p w:rsidR="005D2DA7" w:rsidRPr="00AF5796" w:rsidRDefault="005D2DA7" w:rsidP="007908BE">
      <w:pPr>
        <w:pStyle w:val="enumlev1"/>
        <w:ind w:hanging="850"/>
        <w:rPr>
          <w:lang w:val="en-US"/>
        </w:rPr>
      </w:pPr>
      <w:r w:rsidRPr="00AF5796">
        <w:rPr>
          <w:lang w:val="en-US"/>
        </w:rPr>
        <w:t>–</w:t>
      </w:r>
      <w:r w:rsidRPr="00AF5796">
        <w:rPr>
          <w:lang w:val="en-US"/>
        </w:rPr>
        <w:tab/>
      </w:r>
      <w:r w:rsidRPr="00AF5796">
        <w:rPr>
          <w:b/>
          <w:color w:val="000000" w:themeColor="text1"/>
          <w:lang w:val="en-US"/>
        </w:rPr>
        <w:t>Proliferation of ambient screens</w:t>
      </w:r>
      <w:r w:rsidRPr="00AF5796">
        <w:rPr>
          <w:rFonts w:eastAsia="Calibri"/>
          <w:lang w:val="en-US"/>
        </w:rPr>
        <w:t xml:space="preserve"> or info-bearing surfaces to internet-connected devices for up-to-date information, such as </w:t>
      </w:r>
      <w:r w:rsidRPr="00AF5796">
        <w:rPr>
          <w:lang w:val="en-US"/>
        </w:rPr>
        <w:t>screens</w:t>
      </w:r>
      <w:r w:rsidRPr="00AF5796">
        <w:rPr>
          <w:rFonts w:eastAsia="Calibri"/>
          <w:lang w:val="en-US"/>
        </w:rPr>
        <w:t xml:space="preserve"> in elevators, </w:t>
      </w:r>
      <w:r w:rsidRPr="00AF5796">
        <w:rPr>
          <w:lang w:val="en-US"/>
        </w:rPr>
        <w:t>screens</w:t>
      </w:r>
      <w:r w:rsidRPr="00AF5796">
        <w:rPr>
          <w:rFonts w:eastAsia="Calibri"/>
          <w:lang w:val="en-US"/>
        </w:rPr>
        <w:t xml:space="preserve"> for information, news</w:t>
      </w:r>
      <w:r w:rsidR="007908BE">
        <w:rPr>
          <w:rFonts w:eastAsia="Calibri"/>
          <w:lang w:val="en-US"/>
        </w:rPr>
        <w:t>,</w:t>
      </w:r>
      <w:r w:rsidRPr="00AF5796">
        <w:rPr>
          <w:rFonts w:eastAsia="Calibri"/>
          <w:lang w:val="en-US"/>
        </w:rPr>
        <w:t xml:space="preserve"> etc. in trains will increase traffic more and more.</w:t>
      </w:r>
      <w:r w:rsidRPr="00AF5796">
        <w:rPr>
          <w:lang w:val="en-US"/>
        </w:rPr>
        <w:t xml:space="preserve"> </w:t>
      </w:r>
    </w:p>
    <w:p w:rsidR="004B56F3" w:rsidRPr="00AF5796" w:rsidRDefault="005D2DA7" w:rsidP="00365664">
      <w:pPr>
        <w:pStyle w:val="enumlev1"/>
        <w:rPr>
          <w:rFonts w:eastAsia="Calibri"/>
          <w:lang w:val="en-US"/>
        </w:rPr>
      </w:pPr>
      <w:r w:rsidRPr="00AF5796">
        <w:rPr>
          <w:lang w:val="en-US"/>
        </w:rPr>
        <w:t>–</w:t>
      </w:r>
      <w:r w:rsidRPr="00AF5796">
        <w:rPr>
          <w:lang w:val="en-US"/>
        </w:rPr>
        <w:tab/>
      </w:r>
      <w:r w:rsidRPr="00AF5796">
        <w:rPr>
          <w:b/>
          <w:color w:val="000000" w:themeColor="text1"/>
          <w:lang w:val="en-US"/>
        </w:rPr>
        <w:t xml:space="preserve">Cloud </w:t>
      </w:r>
      <w:r w:rsidRPr="00AF5796">
        <w:rPr>
          <w:b/>
          <w:color w:val="000000" w:themeColor="text1"/>
          <w:szCs w:val="24"/>
          <w:lang w:val="en-US"/>
        </w:rPr>
        <w:t>computing</w:t>
      </w:r>
      <w:r w:rsidRPr="00AF5796">
        <w:rPr>
          <w:color w:val="1F497D"/>
          <w:szCs w:val="24"/>
          <w:lang w:val="en-US"/>
        </w:rPr>
        <w:t>:</w:t>
      </w:r>
      <w:r w:rsidRPr="00AF5796">
        <w:rPr>
          <w:rFonts w:eastAsia="Calibri"/>
          <w:lang w:val="en-US"/>
        </w:rPr>
        <w:t xml:space="preserve"> The demand for mobile cloud services is expected to grow </w:t>
      </w:r>
      <w:r w:rsidRPr="00AF5796">
        <w:rPr>
          <w:lang w:val="en-US"/>
        </w:rPr>
        <w:t>because</w:t>
      </w:r>
      <w:r w:rsidRPr="00AF5796">
        <w:rPr>
          <w:rFonts w:eastAsia="Calibri"/>
          <w:lang w:val="en-US"/>
        </w:rPr>
        <w:t xml:space="preserve"> users are increasingly adopting more services that </w:t>
      </w:r>
      <w:r w:rsidRPr="00AF5796">
        <w:rPr>
          <w:lang w:val="en-US"/>
        </w:rPr>
        <w:t xml:space="preserve">are required to be ubiquitously accessible. </w:t>
      </w:r>
      <w:r w:rsidRPr="00AF5796">
        <w:rPr>
          <w:rFonts w:eastAsia="Calibri"/>
          <w:lang w:val="en-US"/>
        </w:rPr>
        <w:t>As</w:t>
      </w:r>
      <w:r w:rsidR="00365664" w:rsidRPr="00AF5796">
        <w:rPr>
          <w:rFonts w:eastAsia="Calibri"/>
          <w:lang w:val="en-US"/>
        </w:rPr>
        <w:t> </w:t>
      </w:r>
      <w:r w:rsidRPr="00AF5796">
        <w:rPr>
          <w:rFonts w:eastAsia="Calibri"/>
          <w:lang w:val="en-US"/>
        </w:rPr>
        <w:t xml:space="preserve">the </w:t>
      </w:r>
      <w:r w:rsidRPr="00AF5796">
        <w:rPr>
          <w:rFonts w:eastAsia="Calibri"/>
          <w:lang w:val="en-US"/>
        </w:rPr>
        <w:lastRenderedPageBreak/>
        <w:t xml:space="preserve">number of users connecting through the mobile network to the cloud increases, the mobile data traffic between mobile terminals, servers and storage in the cloud will continue to grow. </w:t>
      </w:r>
    </w:p>
    <w:p w:rsidR="005D2DA7" w:rsidRPr="00AF5796" w:rsidRDefault="005D2DA7" w:rsidP="004B56F3">
      <w:pPr>
        <w:pStyle w:val="enumlev1"/>
        <w:rPr>
          <w:szCs w:val="24"/>
          <w:lang w:val="en-US"/>
        </w:rPr>
      </w:pPr>
      <w:r w:rsidRPr="00AF5796">
        <w:rPr>
          <w:lang w:val="en-US"/>
        </w:rPr>
        <w:t>–</w:t>
      </w:r>
      <w:r w:rsidRPr="00AF5796">
        <w:rPr>
          <w:lang w:val="en-US"/>
        </w:rPr>
        <w:tab/>
      </w:r>
      <w:r w:rsidRPr="00AF5796">
        <w:rPr>
          <w:b/>
          <w:color w:val="000000" w:themeColor="text1"/>
          <w:lang w:val="en-US"/>
        </w:rPr>
        <w:t xml:space="preserve">Fixed </w:t>
      </w:r>
      <w:r w:rsidR="006F1816" w:rsidRPr="00AF5796">
        <w:rPr>
          <w:b/>
          <w:color w:val="000000" w:themeColor="text1"/>
          <w:lang w:val="en-US"/>
        </w:rPr>
        <w:t xml:space="preserve">broadband </w:t>
      </w:r>
      <w:r w:rsidRPr="00AF5796">
        <w:rPr>
          <w:b/>
          <w:color w:val="000000" w:themeColor="text1"/>
          <w:lang w:val="en-US"/>
        </w:rPr>
        <w:t>(FBB) replacement by MBB</w:t>
      </w:r>
      <w:r w:rsidRPr="00AF5796">
        <w:rPr>
          <w:szCs w:val="24"/>
          <w:lang w:val="en-US"/>
        </w:rPr>
        <w:t>: In areas and contexts where MBB is used as an alternative to wired broadband, such as copper, cable and fibre, this would contribute to an increase in IMT traffic.</w:t>
      </w:r>
    </w:p>
    <w:p w:rsidR="005D2DA7" w:rsidRPr="00AF5796" w:rsidRDefault="005D2DA7" w:rsidP="007908BE">
      <w:pPr>
        <w:pStyle w:val="enumlev1"/>
        <w:rPr>
          <w:lang w:val="en-US"/>
        </w:rPr>
      </w:pPr>
      <w:r w:rsidRPr="00AF5796">
        <w:rPr>
          <w:lang w:val="en-US"/>
        </w:rPr>
        <w:t>–</w:t>
      </w:r>
      <w:r w:rsidRPr="00AF5796">
        <w:rPr>
          <w:lang w:val="en-US"/>
        </w:rPr>
        <w:tab/>
      </w:r>
      <w:r w:rsidRPr="00AF5796">
        <w:rPr>
          <w:b/>
          <w:lang w:val="en-US"/>
        </w:rPr>
        <w:t>MBB penetration</w:t>
      </w:r>
      <w:r w:rsidRPr="00AF5796">
        <w:rPr>
          <w:lang w:val="en-US"/>
        </w:rPr>
        <w:t xml:space="preserve"> rate is growing faster than FBB penetration rate. This will contribute to increasing IMT traffic</w:t>
      </w:r>
    </w:p>
    <w:p w:rsidR="005D2DA7" w:rsidRPr="00AF5796" w:rsidRDefault="005D2DA7" w:rsidP="00992CB1">
      <w:pPr>
        <w:pStyle w:val="enumlev1"/>
        <w:rPr>
          <w:rFonts w:eastAsia="Calibri"/>
          <w:lang w:val="en-US"/>
        </w:rPr>
      </w:pPr>
      <w:r w:rsidRPr="00AF5796">
        <w:rPr>
          <w:lang w:val="en-US"/>
        </w:rPr>
        <w:t>–</w:t>
      </w:r>
      <w:r w:rsidRPr="00AF5796">
        <w:rPr>
          <w:lang w:val="en-US"/>
        </w:rPr>
        <w:tab/>
      </w:r>
      <w:r w:rsidRPr="00AF5796">
        <w:rPr>
          <w:b/>
          <w:color w:val="000000" w:themeColor="text1"/>
          <w:lang w:val="en-US"/>
        </w:rPr>
        <w:t>The continued growth of</w:t>
      </w:r>
      <w:r w:rsidR="00AB3701">
        <w:rPr>
          <w:b/>
          <w:color w:val="000000" w:themeColor="text1"/>
          <w:szCs w:val="24"/>
          <w:lang w:val="en-US"/>
        </w:rPr>
        <w:t xml:space="preserve"> audio-visual</w:t>
      </w:r>
      <w:r w:rsidRPr="00AF5796">
        <w:rPr>
          <w:b/>
          <w:color w:val="000000" w:themeColor="text1"/>
          <w:szCs w:val="24"/>
          <w:lang w:val="en-US"/>
        </w:rPr>
        <w:t xml:space="preserve"> </w:t>
      </w:r>
      <w:r w:rsidRPr="00AF5796">
        <w:rPr>
          <w:b/>
          <w:color w:val="000000" w:themeColor="text1"/>
          <w:lang w:val="en-US"/>
        </w:rPr>
        <w:t>media streaming</w:t>
      </w:r>
      <w:r w:rsidRPr="00AF5796">
        <w:rPr>
          <w:color w:val="1F497D"/>
          <w:szCs w:val="24"/>
          <w:lang w:val="en-US"/>
        </w:rPr>
        <w:t>:</w:t>
      </w:r>
      <w:r w:rsidRPr="00AF5796">
        <w:rPr>
          <w:rFonts w:eastAsia="Calibri"/>
          <w:lang w:val="en-US"/>
        </w:rPr>
        <w:t xml:space="preserve"> People use their mobile devices more and more for streaming entertainment, with i</w:t>
      </w:r>
      <w:r w:rsidRPr="00AF5796">
        <w:rPr>
          <w:rFonts w:cs="Tahoma"/>
          <w:bCs/>
          <w:color w:val="000000" w:themeColor="text1"/>
          <w:lang w:val="en-US"/>
        </w:rPr>
        <w:t>ncreased unicast media consumption due to time shift (expansion of cloud/network DVR), space shift (availability of content anywhere) and device shift (multi-screen, switch to mobile/portable devices).</w:t>
      </w:r>
      <w:r w:rsidRPr="00AF5796">
        <w:rPr>
          <w:rFonts w:eastAsia="Calibri"/>
          <w:lang w:val="en-US"/>
        </w:rPr>
        <w:t xml:space="preserve"> The DigiWorld yearbook 2014 from IDATE</w:t>
      </w:r>
      <w:r w:rsidRPr="00AF5796">
        <w:rPr>
          <w:rStyle w:val="FootnoteReference"/>
          <w:rFonts w:eastAsia="Calibri"/>
          <w:lang w:val="en-US"/>
        </w:rPr>
        <w:footnoteReference w:id="9"/>
      </w:r>
      <w:r w:rsidRPr="00AF5796">
        <w:rPr>
          <w:rFonts w:eastAsia="Calibri"/>
          <w:lang w:val="en-US"/>
        </w:rPr>
        <w:t xml:space="preserve"> indicates that linear TV still represents 90% of the world audio</w:t>
      </w:r>
      <w:r w:rsidR="00365664" w:rsidRPr="00AF5796">
        <w:rPr>
          <w:rFonts w:eastAsia="Calibri"/>
          <w:lang w:val="en-US"/>
        </w:rPr>
        <w:noBreakHyphen/>
      </w:r>
      <w:r w:rsidRPr="00AF5796">
        <w:rPr>
          <w:rFonts w:eastAsia="Calibri"/>
          <w:lang w:val="en-US"/>
        </w:rPr>
        <w:t>visual services market, growing 4.2% from the previous year; while OTT</w:t>
      </w:r>
      <w:r w:rsidRPr="00AF5796">
        <w:rPr>
          <w:rStyle w:val="FootnoteReference"/>
          <w:rFonts w:eastAsia="Calibri"/>
          <w:lang w:val="en-US"/>
        </w:rPr>
        <w:footnoteReference w:id="10"/>
      </w:r>
      <w:r w:rsidRPr="00AF5796">
        <w:rPr>
          <w:rFonts w:eastAsia="Calibri"/>
          <w:lang w:val="en-US"/>
        </w:rPr>
        <w:t xml:space="preserve"> (</w:t>
      </w:r>
      <w:r w:rsidR="006F1816" w:rsidRPr="00AF5796">
        <w:rPr>
          <w:rFonts w:eastAsia="Calibri"/>
          <w:lang w:val="en-US"/>
        </w:rPr>
        <w:t>over</w:t>
      </w:r>
      <w:r w:rsidR="00992CB1">
        <w:rPr>
          <w:rFonts w:eastAsia="Calibri"/>
          <w:lang w:val="en-US"/>
        </w:rPr>
        <w:t>-</w:t>
      </w:r>
      <w:r w:rsidR="006F1816" w:rsidRPr="00AF5796">
        <w:rPr>
          <w:rFonts w:eastAsia="Calibri"/>
          <w:lang w:val="en-US"/>
        </w:rPr>
        <w:t>the</w:t>
      </w:r>
      <w:r w:rsidR="00992CB1">
        <w:rPr>
          <w:rFonts w:eastAsia="Calibri"/>
          <w:lang w:val="en-US"/>
        </w:rPr>
        <w:t>-</w:t>
      </w:r>
      <w:r w:rsidR="006F1816" w:rsidRPr="00AF5796">
        <w:rPr>
          <w:rFonts w:eastAsia="Calibri"/>
          <w:lang w:val="en-US"/>
        </w:rPr>
        <w:t>top</w:t>
      </w:r>
      <w:r w:rsidRPr="00AF5796">
        <w:rPr>
          <w:rFonts w:eastAsia="Calibri"/>
          <w:lang w:val="en-US"/>
        </w:rPr>
        <w:t>) represents 4.4% of the market</w:t>
      </w:r>
      <w:r w:rsidRPr="00AF5796">
        <w:rPr>
          <w:lang w:val="en-US"/>
        </w:rPr>
        <w:t>,</w:t>
      </w:r>
      <w:r w:rsidR="00AB3701">
        <w:rPr>
          <w:rFonts w:eastAsia="Calibri"/>
          <w:lang w:val="en-US"/>
        </w:rPr>
        <w:t xml:space="preserve"> growing 37%. </w:t>
      </w:r>
      <w:r w:rsidRPr="00AF5796">
        <w:rPr>
          <w:rFonts w:eastAsia="Calibri"/>
          <w:lang w:val="en-US"/>
        </w:rPr>
        <w:t>Most of OTT traffic is delivered via non</w:t>
      </w:r>
      <w:r w:rsidR="00365664" w:rsidRPr="00AF5796">
        <w:rPr>
          <w:rFonts w:eastAsia="Calibri"/>
          <w:lang w:val="en-US"/>
        </w:rPr>
        <w:noBreakHyphen/>
      </w:r>
      <w:r w:rsidRPr="00AF5796">
        <w:rPr>
          <w:rFonts w:eastAsia="Calibri"/>
          <w:lang w:val="en-US"/>
        </w:rPr>
        <w:t>IMT networks. However, the part delivered by IMT is expected to increase in the future.</w:t>
      </w:r>
    </w:p>
    <w:p w:rsidR="005D2DA7" w:rsidRPr="00AF5796" w:rsidRDefault="005D2DA7" w:rsidP="007908BE">
      <w:pPr>
        <w:pStyle w:val="enumlev1"/>
        <w:rPr>
          <w:lang w:val="en-US"/>
        </w:rPr>
      </w:pPr>
      <w:r w:rsidRPr="00AF5796">
        <w:rPr>
          <w:lang w:val="en-US"/>
        </w:rPr>
        <w:t>–</w:t>
      </w:r>
      <w:r w:rsidRPr="00AF5796">
        <w:rPr>
          <w:lang w:val="en-US"/>
        </w:rPr>
        <w:tab/>
      </w:r>
      <w:r w:rsidRPr="00AF5796">
        <w:rPr>
          <w:b/>
          <w:color w:val="000000" w:themeColor="text1"/>
          <w:lang w:val="en-US"/>
        </w:rPr>
        <w:t>The shifting demography/migration to cities and increased urbanisation trend</w:t>
      </w:r>
      <w:r w:rsidRPr="00AF5796">
        <w:rPr>
          <w:color w:val="1F497D"/>
          <w:szCs w:val="24"/>
          <w:lang w:val="en-US"/>
        </w:rPr>
        <w:t>:</w:t>
      </w:r>
      <w:r w:rsidRPr="00AF5796">
        <w:rPr>
          <w:lang w:val="en-US"/>
        </w:rPr>
        <w:t xml:space="preserve"> Given that 600 cities of the world are producing 60% of the global </w:t>
      </w:r>
      <w:r w:rsidR="00CE6198" w:rsidRPr="00AF5796">
        <w:rPr>
          <w:lang w:val="en-US"/>
        </w:rPr>
        <w:t xml:space="preserve">gross domestic product </w:t>
      </w:r>
      <w:r w:rsidRPr="00AF5796">
        <w:rPr>
          <w:lang w:val="en-US"/>
        </w:rPr>
        <w:t xml:space="preserve">(GDP), </w:t>
      </w:r>
      <w:r w:rsidRPr="00AF5796">
        <w:rPr>
          <w:rFonts w:eastAsia="Calibri"/>
          <w:szCs w:val="22"/>
          <w:lang w:val="en-US"/>
        </w:rPr>
        <w:t>much of the global population are, or will be, urban migrants, moving to cities particularly in emerging markets</w:t>
      </w:r>
      <w:r w:rsidRPr="00AF5796">
        <w:rPr>
          <w:lang w:val="en-US"/>
        </w:rPr>
        <w:t xml:space="preserve"> as detailed in </w:t>
      </w:r>
      <w:r w:rsidR="007908BE">
        <w:rPr>
          <w:lang w:val="en-US"/>
        </w:rPr>
        <w:t>§</w:t>
      </w:r>
      <w:r w:rsidRPr="00AF5796">
        <w:rPr>
          <w:lang w:val="en-US"/>
        </w:rPr>
        <w:t xml:space="preserve"> 3.2.</w:t>
      </w:r>
    </w:p>
    <w:p w:rsidR="005D2DA7" w:rsidRPr="00AF5796" w:rsidRDefault="005D2DA7" w:rsidP="008015FB">
      <w:pPr>
        <w:pStyle w:val="enumlev1"/>
        <w:rPr>
          <w:lang w:val="en-US"/>
        </w:rPr>
      </w:pPr>
      <w:r w:rsidRPr="00AF5796">
        <w:rPr>
          <w:color w:val="000000"/>
          <w:lang w:val="en-US"/>
        </w:rPr>
        <w:t>–</w:t>
      </w:r>
      <w:r w:rsidRPr="00AF5796">
        <w:rPr>
          <w:lang w:val="en-US"/>
        </w:rPr>
        <w:tab/>
      </w:r>
      <w:r w:rsidRPr="00AF5796">
        <w:rPr>
          <w:b/>
          <w:color w:val="000000" w:themeColor="text1"/>
          <w:lang w:val="en-US"/>
        </w:rPr>
        <w:t>The evolution in usage and traffic characteristics</w:t>
      </w:r>
      <w:r w:rsidRPr="00AF5796">
        <w:rPr>
          <w:rFonts w:eastAsia="Calibri"/>
          <w:szCs w:val="22"/>
          <w:lang w:val="en-US"/>
        </w:rPr>
        <w:t xml:space="preserve"> of the current (web-browsing, voice, streaming</w:t>
      </w:r>
      <w:r w:rsidRPr="00AF5796">
        <w:rPr>
          <w:lang w:val="en-US"/>
        </w:rPr>
        <w:t>, etc.)</w:t>
      </w:r>
      <w:r w:rsidRPr="00AF5796">
        <w:rPr>
          <w:rFonts w:eastAsia="Calibri"/>
          <w:szCs w:val="22"/>
          <w:lang w:val="en-US"/>
        </w:rPr>
        <w:t xml:space="preserve"> and emerging services</w:t>
      </w:r>
      <w:r w:rsidRPr="00AF5796">
        <w:rPr>
          <w:lang w:val="en-US"/>
        </w:rPr>
        <w:t xml:space="preserve"> changing the utilisation rates, active bit rates, and, hence, the net average up and down link traffic per device.</w:t>
      </w:r>
    </w:p>
    <w:p w:rsidR="005D2DA7" w:rsidRPr="00AF5796" w:rsidRDefault="005D2DA7" w:rsidP="008015FB">
      <w:pPr>
        <w:pStyle w:val="enumlev1"/>
        <w:rPr>
          <w:color w:val="000000"/>
          <w:lang w:val="en-US"/>
        </w:rPr>
      </w:pPr>
      <w:r w:rsidRPr="00AF5796">
        <w:rPr>
          <w:color w:val="000000"/>
          <w:lang w:val="en-US"/>
        </w:rPr>
        <w:t>–</w:t>
      </w:r>
      <w:r w:rsidRPr="00AF5796">
        <w:rPr>
          <w:color w:val="000000"/>
          <w:lang w:val="en-US"/>
        </w:rPr>
        <w:tab/>
      </w:r>
      <w:r w:rsidRPr="00AF5796">
        <w:rPr>
          <w:b/>
          <w:color w:val="000000" w:themeColor="text1"/>
          <w:lang w:val="en-US"/>
        </w:rPr>
        <w:t>Overall average traffic asymmetry</w:t>
      </w:r>
      <w:r w:rsidRPr="00AF5796">
        <w:rPr>
          <w:color w:val="000000"/>
          <w:lang w:val="en-US"/>
        </w:rPr>
        <w:t xml:space="preserve"> ratio (UL/DL), which is currently dominant (from 1/4 to 1/9) in favour of downlink (DL) and is expected to increase in favour of DL (from 1/7 to 1/10) or more, in future. </w:t>
      </w:r>
    </w:p>
    <w:p w:rsidR="005D2DA7" w:rsidRPr="00AF5796" w:rsidRDefault="005D2DA7" w:rsidP="008015FB">
      <w:pPr>
        <w:pStyle w:val="enumlev1"/>
        <w:rPr>
          <w:rFonts w:eastAsiaTheme="minorEastAsia"/>
          <w:lang w:val="en-US"/>
        </w:rPr>
      </w:pPr>
      <w:r w:rsidRPr="00AF5796">
        <w:rPr>
          <w:color w:val="000000"/>
          <w:lang w:val="en-US"/>
        </w:rPr>
        <w:t>–</w:t>
      </w:r>
      <w:r w:rsidRPr="00AF5796">
        <w:rPr>
          <w:color w:val="000000"/>
          <w:lang w:val="en-US"/>
        </w:rPr>
        <w:tab/>
      </w:r>
      <w:r w:rsidRPr="00AF5796">
        <w:rPr>
          <w:b/>
          <w:color w:val="000000" w:themeColor="text1"/>
          <w:lang w:val="en-US"/>
        </w:rPr>
        <w:t>The (time and space) subscriber behaviour</w:t>
      </w:r>
      <w:r w:rsidRPr="00AF5796">
        <w:rPr>
          <w:color w:val="000000"/>
          <w:lang w:val="en-US"/>
        </w:rPr>
        <w:t xml:space="preserve"> </w:t>
      </w:r>
      <w:r w:rsidRPr="00AF5796">
        <w:rPr>
          <w:rFonts w:eastAsiaTheme="minorEastAsia"/>
          <w:lang w:val="en-US"/>
        </w:rPr>
        <w:t>including the subscriber’s geographical distribution, moving behaviour and application usage behaviour</w:t>
      </w:r>
      <w:r w:rsidRPr="00AF5796">
        <w:rPr>
          <w:lang w:val="en-US" w:eastAsia="zh-CN"/>
        </w:rPr>
        <w:t>: It</w:t>
      </w:r>
      <w:r w:rsidRPr="00AF5796">
        <w:rPr>
          <w:rFonts w:eastAsiaTheme="minorEastAsia"/>
          <w:lang w:val="en-US"/>
        </w:rPr>
        <w:t xml:space="preserve"> will impact on the space-</w:t>
      </w:r>
      <w:r w:rsidRPr="00AF5796">
        <w:rPr>
          <w:lang w:val="en-US" w:eastAsia="zh-CN"/>
        </w:rPr>
        <w:t xml:space="preserve"> and </w:t>
      </w:r>
      <w:r w:rsidRPr="00AF5796">
        <w:rPr>
          <w:rFonts w:eastAsiaTheme="minorEastAsia"/>
          <w:lang w:val="en-US"/>
        </w:rPr>
        <w:t>time</w:t>
      </w:r>
      <w:r w:rsidRPr="00AF5796">
        <w:rPr>
          <w:lang w:val="en-US" w:eastAsia="zh-CN"/>
        </w:rPr>
        <w:t>-domain</w:t>
      </w:r>
      <w:r w:rsidRPr="00AF5796">
        <w:rPr>
          <w:rFonts w:eastAsiaTheme="minorEastAsia"/>
          <w:lang w:val="en-US"/>
        </w:rPr>
        <w:t xml:space="preserve"> traffic behaviour</w:t>
      </w:r>
      <w:r w:rsidRPr="00AF5796">
        <w:rPr>
          <w:lang w:val="en-US" w:eastAsia="zh-CN"/>
        </w:rPr>
        <w:t>, leading to non-uniformly distributed traffic volume and traffic asymmetry</w:t>
      </w:r>
      <w:r w:rsidRPr="00AF5796">
        <w:rPr>
          <w:rFonts w:eastAsiaTheme="minorEastAsia"/>
          <w:lang w:val="en-US"/>
        </w:rPr>
        <w:t>.</w:t>
      </w:r>
    </w:p>
    <w:p w:rsidR="005D2DA7" w:rsidRPr="00AF5796" w:rsidRDefault="005D2DA7" w:rsidP="008015FB">
      <w:pPr>
        <w:pStyle w:val="enumlev1"/>
        <w:rPr>
          <w:color w:val="000000"/>
          <w:lang w:val="en-US"/>
        </w:rPr>
      </w:pPr>
      <w:r w:rsidRPr="00AF5796">
        <w:rPr>
          <w:color w:val="000000"/>
          <w:lang w:val="en-US"/>
        </w:rPr>
        <w:t>–</w:t>
      </w:r>
      <w:r w:rsidRPr="00AF5796">
        <w:rPr>
          <w:lang w:val="en-US"/>
        </w:rPr>
        <w:tab/>
      </w:r>
      <w:r w:rsidRPr="00AF5796">
        <w:rPr>
          <w:b/>
          <w:color w:val="000000" w:themeColor="text1"/>
          <w:lang w:val="en-US"/>
        </w:rPr>
        <w:t>Actual deployment timescale</w:t>
      </w:r>
      <w:r w:rsidRPr="00AF5796">
        <w:rPr>
          <w:lang w:val="en-US"/>
        </w:rPr>
        <w:t xml:space="preserve"> to make mobile broadband available to all potential users. </w:t>
      </w:r>
    </w:p>
    <w:p w:rsidR="005D2DA7" w:rsidRPr="00AF5796" w:rsidRDefault="005D2DA7" w:rsidP="005D2DA7">
      <w:pPr>
        <w:rPr>
          <w:lang w:val="en-US"/>
        </w:rPr>
      </w:pPr>
      <w:r w:rsidRPr="00AF5796">
        <w:rPr>
          <w:lang w:val="en-US"/>
        </w:rPr>
        <w:t>Furthermore, as indicated in Table 1, the following approaches can be considered to cope with increasing traffic growth:</w:t>
      </w:r>
    </w:p>
    <w:p w:rsidR="005D2DA7" w:rsidRPr="00AF5796" w:rsidRDefault="005D2DA7" w:rsidP="000F57F0">
      <w:pPr>
        <w:pStyle w:val="TableNo"/>
        <w:keepLines/>
        <w:rPr>
          <w:lang w:val="en-US"/>
        </w:rPr>
      </w:pPr>
      <w:r w:rsidRPr="00AF5796">
        <w:rPr>
          <w:lang w:val="en-US"/>
        </w:rPr>
        <w:lastRenderedPageBreak/>
        <w:t>TABLE 1</w:t>
      </w:r>
    </w:p>
    <w:p w:rsidR="005D2DA7" w:rsidRPr="00AF5796" w:rsidRDefault="005D2DA7" w:rsidP="000F57F0">
      <w:pPr>
        <w:pStyle w:val="Tabletitle"/>
        <w:keepLines/>
        <w:rPr>
          <w:lang w:val="en-US"/>
        </w:rPr>
      </w:pPr>
      <w:r w:rsidRPr="00AF5796">
        <w:rPr>
          <w:lang w:val="en-US"/>
        </w:rPr>
        <w:t>Approaches to cope with traffic increase</w:t>
      </w:r>
      <w:r w:rsidRPr="00AF5796">
        <w:rPr>
          <w:rStyle w:val="FootnoteReference"/>
          <w:rFonts w:ascii="Times New Roman Bold" w:hAnsi="Times New Roman Bold"/>
          <w:bCs/>
          <w:lang w:val="en-US"/>
        </w:rPr>
        <w:footnoteReference w:id="1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6208"/>
      </w:tblGrid>
      <w:tr w:rsidR="005D2DA7" w:rsidRPr="00AF4361" w:rsidTr="00561139">
        <w:trPr>
          <w:jc w:val="center"/>
        </w:trPr>
        <w:tc>
          <w:tcPr>
            <w:tcW w:w="2977" w:type="dxa"/>
          </w:tcPr>
          <w:p w:rsidR="005D2DA7" w:rsidRPr="00AF5796" w:rsidRDefault="005D2DA7" w:rsidP="000F57F0">
            <w:pPr>
              <w:pStyle w:val="Tabletext"/>
              <w:keepNext/>
              <w:keepLines/>
              <w:rPr>
                <w:lang w:val="en-US"/>
              </w:rPr>
            </w:pPr>
            <w:r w:rsidRPr="00AF5796">
              <w:rPr>
                <w:b/>
                <w:iCs/>
                <w:lang w:val="en-US"/>
              </w:rPr>
              <w:t>Spectrum</w:t>
            </w:r>
            <w:r w:rsidRPr="00AF5796">
              <w:rPr>
                <w:b/>
                <w:i/>
                <w:lang w:val="en-US"/>
              </w:rPr>
              <w:t xml:space="preserve"> </w:t>
            </w:r>
            <w:r w:rsidRPr="00AF5796">
              <w:rPr>
                <w:b/>
                <w:iCs/>
                <w:lang w:val="en-US"/>
              </w:rPr>
              <w:t>availability</w:t>
            </w:r>
          </w:p>
        </w:tc>
        <w:tc>
          <w:tcPr>
            <w:tcW w:w="5387" w:type="dxa"/>
          </w:tcPr>
          <w:p w:rsidR="005D2DA7" w:rsidRPr="00AF5796" w:rsidRDefault="005D2DA7" w:rsidP="000F57F0">
            <w:pPr>
              <w:pStyle w:val="Tabletext"/>
              <w:keepNext/>
              <w:keepLines/>
              <w:rPr>
                <w:b/>
                <w:i/>
                <w:lang w:val="en-US"/>
              </w:rPr>
            </w:pPr>
            <w:r w:rsidRPr="00AF5796">
              <w:rPr>
                <w:lang w:val="en-US"/>
              </w:rPr>
              <w:t>Amount of spectrum used by radio interface.</w:t>
            </w:r>
          </w:p>
        </w:tc>
      </w:tr>
      <w:tr w:rsidR="005D2DA7" w:rsidRPr="00AF4361" w:rsidTr="00561139">
        <w:trPr>
          <w:jc w:val="center"/>
        </w:trPr>
        <w:tc>
          <w:tcPr>
            <w:tcW w:w="2977" w:type="dxa"/>
          </w:tcPr>
          <w:p w:rsidR="005D2DA7" w:rsidRPr="00AF5796" w:rsidRDefault="005D2DA7" w:rsidP="000F57F0">
            <w:pPr>
              <w:pStyle w:val="Tabletext"/>
              <w:keepNext/>
              <w:keepLines/>
              <w:rPr>
                <w:lang w:val="en-US"/>
              </w:rPr>
            </w:pPr>
            <w:r w:rsidRPr="00AF5796">
              <w:rPr>
                <w:b/>
                <w:iCs/>
                <w:lang w:val="en-US"/>
              </w:rPr>
              <w:t>Technical</w:t>
            </w:r>
            <w:r w:rsidRPr="00AF5796">
              <w:rPr>
                <w:b/>
                <w:i/>
                <w:lang w:val="en-US"/>
              </w:rPr>
              <w:t xml:space="preserve"> </w:t>
            </w:r>
            <w:r w:rsidRPr="00AF5796">
              <w:rPr>
                <w:b/>
                <w:iCs/>
                <w:lang w:val="en-US"/>
              </w:rPr>
              <w:t>enhancements</w:t>
            </w:r>
          </w:p>
        </w:tc>
        <w:tc>
          <w:tcPr>
            <w:tcW w:w="5387" w:type="dxa"/>
          </w:tcPr>
          <w:p w:rsidR="005D2DA7" w:rsidRPr="00AF5796" w:rsidRDefault="005D2DA7" w:rsidP="000F57F0">
            <w:pPr>
              <w:pStyle w:val="Tabletext"/>
              <w:keepNext/>
              <w:keepLines/>
              <w:rPr>
                <w:b/>
                <w:i/>
                <w:lang w:val="en-US"/>
              </w:rPr>
            </w:pPr>
            <w:r w:rsidRPr="00AF5796">
              <w:rPr>
                <w:lang w:val="en-US"/>
              </w:rPr>
              <w:t>Migration to innovative, more efficient techniques such as new radio interfaces, codec improvements, use of multicast and reduction in energy consumption.</w:t>
            </w:r>
          </w:p>
        </w:tc>
      </w:tr>
      <w:tr w:rsidR="005D2DA7" w:rsidRPr="00AF4361" w:rsidTr="00561139">
        <w:trPr>
          <w:jc w:val="center"/>
        </w:trPr>
        <w:tc>
          <w:tcPr>
            <w:tcW w:w="2977" w:type="dxa"/>
          </w:tcPr>
          <w:p w:rsidR="005D2DA7" w:rsidRPr="00AF5796" w:rsidRDefault="005D2DA7" w:rsidP="00561139">
            <w:pPr>
              <w:pStyle w:val="Tabletext"/>
              <w:jc w:val="left"/>
              <w:rPr>
                <w:iCs/>
                <w:lang w:val="en-US"/>
              </w:rPr>
            </w:pPr>
            <w:r w:rsidRPr="00AF5796">
              <w:rPr>
                <w:b/>
                <w:iCs/>
                <w:lang w:val="en-US"/>
              </w:rPr>
              <w:t>New network structure/topology</w:t>
            </w:r>
          </w:p>
        </w:tc>
        <w:tc>
          <w:tcPr>
            <w:tcW w:w="5387" w:type="dxa"/>
          </w:tcPr>
          <w:p w:rsidR="005D2DA7" w:rsidRPr="00AF5796" w:rsidRDefault="005D2DA7" w:rsidP="00D513B3">
            <w:pPr>
              <w:pStyle w:val="Tabletext"/>
              <w:rPr>
                <w:b/>
                <w:i/>
                <w:lang w:val="en-US"/>
              </w:rPr>
            </w:pPr>
            <w:r w:rsidRPr="00AF5796">
              <w:rPr>
                <w:lang w:val="en-US"/>
              </w:rPr>
              <w:t>Number of radio sites and smaller cell sizes.</w:t>
            </w:r>
          </w:p>
        </w:tc>
      </w:tr>
      <w:tr w:rsidR="005D2DA7" w:rsidRPr="00AF4361" w:rsidTr="00561139">
        <w:trPr>
          <w:jc w:val="center"/>
        </w:trPr>
        <w:tc>
          <w:tcPr>
            <w:tcW w:w="2977" w:type="dxa"/>
          </w:tcPr>
          <w:p w:rsidR="005D2DA7" w:rsidRPr="00AF5796" w:rsidRDefault="005D2DA7" w:rsidP="00D513B3">
            <w:pPr>
              <w:pStyle w:val="Tabletext"/>
              <w:rPr>
                <w:b/>
                <w:lang w:val="en-US"/>
              </w:rPr>
            </w:pPr>
            <w:r w:rsidRPr="00AF5796">
              <w:rPr>
                <w:b/>
                <w:iCs/>
                <w:lang w:val="en-US"/>
              </w:rPr>
              <w:t>Offloading</w:t>
            </w:r>
            <w:r w:rsidRPr="00AF5796">
              <w:rPr>
                <w:b/>
                <w:i/>
                <w:lang w:val="en-US"/>
              </w:rPr>
              <w:t xml:space="preserve"> </w:t>
            </w:r>
            <w:r w:rsidRPr="00AF5796">
              <w:rPr>
                <w:b/>
                <w:iCs/>
                <w:lang w:val="en-US"/>
              </w:rPr>
              <w:t>traffic</w:t>
            </w:r>
          </w:p>
        </w:tc>
        <w:tc>
          <w:tcPr>
            <w:tcW w:w="5387" w:type="dxa"/>
          </w:tcPr>
          <w:p w:rsidR="005D2DA7" w:rsidRPr="00AF5796" w:rsidRDefault="005D2DA7" w:rsidP="00D513B3">
            <w:pPr>
              <w:pStyle w:val="Tabletext"/>
              <w:rPr>
                <w:b/>
                <w:i/>
                <w:lang w:val="en-US"/>
              </w:rPr>
            </w:pPr>
            <w:r w:rsidRPr="00AF5796">
              <w:rPr>
                <w:lang w:val="en-US"/>
              </w:rPr>
              <w:t xml:space="preserve">Off-loading of </w:t>
            </w:r>
            <w:r w:rsidRPr="00AF5796">
              <w:rPr>
                <w:rFonts w:cs="Tahoma"/>
                <w:bCs/>
                <w:lang w:val="en-US"/>
              </w:rPr>
              <w:t xml:space="preserve">traffic onto </w:t>
            </w:r>
            <w:r w:rsidRPr="00AF5796">
              <w:rPr>
                <w:lang w:val="en-US"/>
              </w:rPr>
              <w:t>licence-exempt frequencies frees up capacity in the macro network layer.</w:t>
            </w:r>
          </w:p>
        </w:tc>
      </w:tr>
    </w:tbl>
    <w:p w:rsidR="005D2DA7" w:rsidRPr="00AF5796" w:rsidRDefault="005D2DA7" w:rsidP="004B56F3">
      <w:pPr>
        <w:pStyle w:val="Tablefin"/>
        <w:rPr>
          <w:rFonts w:eastAsia="Calibri"/>
          <w:lang w:val="en-US"/>
        </w:rPr>
      </w:pPr>
    </w:p>
    <w:p w:rsidR="005D2DA7" w:rsidRPr="00AF5796" w:rsidRDefault="005D2DA7" w:rsidP="0028280F">
      <w:pPr>
        <w:pStyle w:val="enumlev1"/>
        <w:rPr>
          <w:lang w:val="en-US"/>
        </w:rPr>
      </w:pPr>
      <w:r w:rsidRPr="00AF5796">
        <w:rPr>
          <w:lang w:val="en-US"/>
        </w:rPr>
        <w:t>–</w:t>
      </w:r>
      <w:r w:rsidRPr="00AF5796">
        <w:rPr>
          <w:lang w:val="en-US"/>
        </w:rPr>
        <w:tab/>
      </w:r>
      <w:r w:rsidRPr="00AF5796">
        <w:rPr>
          <w:b/>
          <w:iCs/>
          <w:color w:val="000000" w:themeColor="text1"/>
          <w:lang w:val="en-US"/>
        </w:rPr>
        <w:t>Spectrum availability</w:t>
      </w:r>
      <w:r w:rsidRPr="00AF5796">
        <w:rPr>
          <w:lang w:val="en-US"/>
        </w:rPr>
        <w:t>: The increased mobile traffic demand is driving the development and deployment of MBB technologies such as IMT. However, the identified IMT spectrum is currently not fully made available in many countries, which limits IMT usage in those countries.</w:t>
      </w:r>
    </w:p>
    <w:p w:rsidR="005D2DA7" w:rsidRPr="00AF5796" w:rsidRDefault="005D2DA7" w:rsidP="0028280F">
      <w:pPr>
        <w:pStyle w:val="enumlev1"/>
        <w:rPr>
          <w:lang w:val="en-US"/>
        </w:rPr>
      </w:pPr>
      <w:r w:rsidRPr="00AF5796">
        <w:rPr>
          <w:lang w:val="en-US"/>
        </w:rPr>
        <w:tab/>
        <w:t xml:space="preserve">Sufficient and suitable spectrum resources are key factors to facilitate the development of innovative services and applications and stimulate competition in mobile broadband landscape. </w:t>
      </w:r>
    </w:p>
    <w:p w:rsidR="005D2DA7" w:rsidRPr="00AF5796" w:rsidRDefault="005D2DA7" w:rsidP="005D2DA7">
      <w:pPr>
        <w:pStyle w:val="enumlev1"/>
        <w:ind w:hanging="850"/>
        <w:rPr>
          <w:szCs w:val="24"/>
          <w:lang w:val="en-US"/>
        </w:rPr>
      </w:pPr>
      <w:r w:rsidRPr="00AF5796">
        <w:rPr>
          <w:lang w:val="en-US"/>
        </w:rPr>
        <w:t>–</w:t>
      </w:r>
      <w:r w:rsidRPr="00AF5796">
        <w:rPr>
          <w:lang w:val="en-US"/>
        </w:rPr>
        <w:tab/>
      </w:r>
      <w:r w:rsidRPr="00AF5796">
        <w:rPr>
          <w:b/>
          <w:iCs/>
          <w:color w:val="000000" w:themeColor="text1"/>
          <w:lang w:val="en-US"/>
        </w:rPr>
        <w:t>Technical enhancements</w:t>
      </w:r>
      <w:r w:rsidRPr="00AF5796">
        <w:rPr>
          <w:lang w:val="en-US"/>
        </w:rPr>
        <w:t xml:space="preserve">: Along with the efficient radio interface technologies, video codec improvements with more efficient compression methods will facilitate better handling of traffic. For example, usage of H.265 instead of MPEG4 will reduce the amount of traffic. </w:t>
      </w:r>
    </w:p>
    <w:p w:rsidR="005D2DA7" w:rsidRPr="00AF5796" w:rsidRDefault="005D2DA7" w:rsidP="005D2DA7">
      <w:pPr>
        <w:pStyle w:val="enumlev1"/>
        <w:ind w:hanging="850"/>
        <w:rPr>
          <w:lang w:val="en-US"/>
        </w:rPr>
      </w:pPr>
      <w:r w:rsidRPr="00AF5796">
        <w:rPr>
          <w:lang w:val="en-US"/>
        </w:rPr>
        <w:tab/>
        <w:t>As the number of users and connected devices grows, energy consumption might become a limiting factor to traffic growth, reaching an unsustainable level of cost of operation and greenhouse gas emissions</w:t>
      </w:r>
      <w:r w:rsidRPr="00AF5796">
        <w:rPr>
          <w:rStyle w:val="FootnoteReference"/>
          <w:lang w:val="en-US"/>
        </w:rPr>
        <w:footnoteReference w:id="12"/>
      </w:r>
      <w:r w:rsidRPr="00AF5796">
        <w:rPr>
          <w:lang w:val="en-US"/>
        </w:rPr>
        <w:t>. The energy consumption of wireless networks in 2011 was estimated to be 17 kWhr/year/user (excluding device consumption). With 5.9 billion users in 2011, this amounts to about 100 TeraWatt-hour/year, which is 0.5% of the electrical energy consumption in the world. Therefore, improvements in energy efficiency are needed to keep traffic increase affordable.</w:t>
      </w:r>
    </w:p>
    <w:p w:rsidR="005D2DA7" w:rsidRPr="00AF5796" w:rsidRDefault="005D2DA7" w:rsidP="0028280F">
      <w:pPr>
        <w:pStyle w:val="enumlev1"/>
        <w:rPr>
          <w:lang w:val="en-US"/>
        </w:rPr>
      </w:pPr>
      <w:r w:rsidRPr="00AF5796">
        <w:rPr>
          <w:bCs/>
          <w:lang w:val="en-US"/>
        </w:rPr>
        <w:t>–</w:t>
      </w:r>
      <w:r w:rsidRPr="00AF5796">
        <w:rPr>
          <w:lang w:val="en-US"/>
        </w:rPr>
        <w:tab/>
      </w:r>
      <w:r w:rsidRPr="00AF5796">
        <w:rPr>
          <w:b/>
          <w:bCs/>
          <w:iCs/>
          <w:color w:val="000000" w:themeColor="text1"/>
          <w:lang w:val="en-US"/>
        </w:rPr>
        <w:t>New network structure/topology</w:t>
      </w:r>
      <w:r w:rsidR="00770E99">
        <w:rPr>
          <w:lang w:val="en-US"/>
        </w:rPr>
        <w:t>:</w:t>
      </w:r>
      <w:r w:rsidRPr="00AF5796">
        <w:rPr>
          <w:lang w:val="en-US"/>
        </w:rPr>
        <w:t xml:space="preserve"> Network densification such as applying new network structure/topology also improves the network capacity. For example, the number of radio sites as well as the usage of the small cell sizes is important elements for capacity increase. The highest traffic demand occurs in dense urban centers at peak times. As a result, it is urban hotspot sites that require additional capacity. However, in these areas networks are already extremely dense today, and locations for new sites are hard to find.</w:t>
      </w:r>
    </w:p>
    <w:p w:rsidR="005D2DA7" w:rsidRPr="00AF5796" w:rsidRDefault="005D2DA7" w:rsidP="0028280F">
      <w:pPr>
        <w:pStyle w:val="enumlev1"/>
        <w:rPr>
          <w:lang w:val="en-US"/>
        </w:rPr>
      </w:pPr>
      <w:r w:rsidRPr="00AF5796">
        <w:rPr>
          <w:lang w:val="en-US"/>
        </w:rPr>
        <w:tab/>
        <w:t xml:space="preserve">Smaller cells are likely to be used to increase capacity without a need of tower based radio sites. Femtocells can also provide capacity increase in many applications, for example domestic environments. </w:t>
      </w:r>
    </w:p>
    <w:p w:rsidR="005D2DA7" w:rsidRPr="00AF5796" w:rsidRDefault="005D2DA7" w:rsidP="00697321">
      <w:pPr>
        <w:pStyle w:val="enumlev1"/>
        <w:keepNext/>
        <w:keepLines/>
        <w:ind w:hanging="851"/>
        <w:rPr>
          <w:lang w:val="en-US"/>
        </w:rPr>
      </w:pPr>
      <w:r w:rsidRPr="00AF5796">
        <w:rPr>
          <w:lang w:val="en-US"/>
        </w:rPr>
        <w:lastRenderedPageBreak/>
        <w:t>–</w:t>
      </w:r>
      <w:r w:rsidRPr="00AF5796">
        <w:rPr>
          <w:lang w:val="en-US"/>
        </w:rPr>
        <w:tab/>
      </w:r>
      <w:r w:rsidRPr="00AF5796">
        <w:rPr>
          <w:b/>
          <w:iCs/>
          <w:color w:val="000000" w:themeColor="text1"/>
          <w:lang w:val="en-US"/>
        </w:rPr>
        <w:t>Offloading traffic</w:t>
      </w:r>
      <w:r w:rsidRPr="00AF5796">
        <w:rPr>
          <w:lang w:val="en-US"/>
        </w:rPr>
        <w:t xml:space="preserve">: Off-loading of </w:t>
      </w:r>
      <w:r w:rsidRPr="00AF5796">
        <w:rPr>
          <w:rFonts w:cs="Tahoma"/>
          <w:bCs/>
          <w:lang w:val="en-US"/>
        </w:rPr>
        <w:t xml:space="preserve">traffic onto </w:t>
      </w:r>
      <w:r w:rsidRPr="00AF5796">
        <w:rPr>
          <w:lang w:val="en-US"/>
        </w:rPr>
        <w:t>licence-exempt frequencies (e.g. using Wi-Fi or LAA</w:t>
      </w:r>
      <w:r w:rsidRPr="00AF5796">
        <w:rPr>
          <w:rStyle w:val="FootnoteReference"/>
          <w:lang w:val="en-US"/>
        </w:rPr>
        <w:footnoteReference w:id="13"/>
      </w:r>
      <w:r w:rsidRPr="00AF5796">
        <w:rPr>
          <w:lang w:val="en-US"/>
        </w:rPr>
        <w:t>) frees up capacity in the macro network layer.</w:t>
      </w:r>
    </w:p>
    <w:p w:rsidR="005D2DA7" w:rsidRPr="00AF5796" w:rsidRDefault="005D2DA7" w:rsidP="00697321">
      <w:pPr>
        <w:pStyle w:val="enumlev1"/>
        <w:keepNext/>
        <w:keepLines/>
        <w:ind w:hanging="851"/>
        <w:rPr>
          <w:lang w:val="en-US"/>
        </w:rPr>
      </w:pPr>
      <w:r w:rsidRPr="00AF5796">
        <w:rPr>
          <w:lang w:val="en-US"/>
        </w:rPr>
        <w:tab/>
        <w:t>The volumes of off-loaded traffic are significant. For example, Cisco estimates that in the UK, 40% of cellular traffic was off-loaded in 2010 and was expected to increase to 42% in 2015. Advanced mobile networks have the ability to handle multiple applications and device types with different network requirements, traffic load on the network, and levels of profitability. A service provider can select (using Wi-Fi or LAA) to off-load traffic to license-exempt spec</w:t>
      </w:r>
      <w:r w:rsidR="00531D0A" w:rsidRPr="00AF5796">
        <w:rPr>
          <w:lang w:val="en-US"/>
        </w:rPr>
        <w:t>trum depending on the required quality of service (Q</w:t>
      </w:r>
      <w:r w:rsidRPr="00AF5796">
        <w:rPr>
          <w:lang w:val="en-US"/>
        </w:rPr>
        <w:t>oS</w:t>
      </w:r>
      <w:r w:rsidR="00531D0A" w:rsidRPr="00AF5796">
        <w:rPr>
          <w:lang w:val="en-US"/>
        </w:rPr>
        <w:t>)</w:t>
      </w:r>
      <w:r w:rsidRPr="00AF5796">
        <w:rPr>
          <w:lang w:val="en-US"/>
        </w:rPr>
        <w:t>, off</w:t>
      </w:r>
      <w:r w:rsidRPr="00AF5796">
        <w:rPr>
          <w:lang w:val="en-US"/>
        </w:rPr>
        <w:noBreakHyphen/>
        <w:t>loading at various locations, over secured or open license-exempt access points.</w:t>
      </w:r>
    </w:p>
    <w:p w:rsidR="005D2DA7" w:rsidRPr="00AF5796" w:rsidRDefault="005D2DA7" w:rsidP="005D2DA7">
      <w:pPr>
        <w:pStyle w:val="Heading2"/>
        <w:rPr>
          <w:rFonts w:ascii="Calibri" w:eastAsia="Calibri" w:hAnsi="Calibri"/>
          <w:sz w:val="22"/>
          <w:lang w:val="en-US"/>
        </w:rPr>
      </w:pPr>
      <w:bookmarkStart w:id="17" w:name="_Toc427932296"/>
      <w:bookmarkStart w:id="18" w:name="_Toc427935105"/>
      <w:r w:rsidRPr="00AF5796">
        <w:rPr>
          <w:rFonts w:eastAsia="Calibri"/>
          <w:lang w:val="en-US"/>
        </w:rPr>
        <w:t>3.2</w:t>
      </w:r>
      <w:r w:rsidRPr="00AF5796">
        <w:rPr>
          <w:rFonts w:eastAsia="Calibri"/>
          <w:lang w:val="en-US"/>
        </w:rPr>
        <w:tab/>
        <w:t>Shifting demography</w:t>
      </w:r>
      <w:bookmarkEnd w:id="17"/>
      <w:bookmarkEnd w:id="18"/>
    </w:p>
    <w:p w:rsidR="005D2DA7" w:rsidRPr="00AF5796" w:rsidRDefault="005D2DA7" w:rsidP="005D2DA7">
      <w:pPr>
        <w:pStyle w:val="Heading3"/>
        <w:rPr>
          <w:rFonts w:ascii="Calibri" w:eastAsia="Calibri" w:hAnsi="Calibri"/>
          <w:sz w:val="22"/>
          <w:lang w:val="en-US"/>
        </w:rPr>
      </w:pPr>
      <w:r w:rsidRPr="00AF5796">
        <w:rPr>
          <w:rFonts w:eastAsia="Calibri"/>
          <w:lang w:val="en-US"/>
        </w:rPr>
        <w:t>3.2.1</w:t>
      </w:r>
      <w:r w:rsidRPr="00AF5796">
        <w:rPr>
          <w:rFonts w:eastAsia="Calibri"/>
          <w:lang w:val="en-US"/>
        </w:rPr>
        <w:tab/>
        <w:t>Migration to cities and increased urbanisation trend</w:t>
      </w:r>
    </w:p>
    <w:p w:rsidR="005D2DA7" w:rsidRPr="00AF5796" w:rsidRDefault="005D2DA7" w:rsidP="00007F6F">
      <w:pPr>
        <w:rPr>
          <w:lang w:val="en-US"/>
        </w:rPr>
      </w:pPr>
      <w:r w:rsidRPr="00AF5796">
        <w:rPr>
          <w:lang w:val="en-US"/>
        </w:rPr>
        <w:t>An ever increasing number of people are living in cities. Every hour the global urban population grows by 7 500 people, due to migration and natural population growth – that is more than 5</w:t>
      </w:r>
      <w:r w:rsidR="00007F6F" w:rsidRPr="00AF5796">
        <w:rPr>
          <w:lang w:val="en-US"/>
        </w:rPr>
        <w:t> </w:t>
      </w:r>
      <w:r w:rsidRPr="00AF5796">
        <w:rPr>
          <w:lang w:val="en-US"/>
        </w:rPr>
        <w:t>million new city residents every month – driving the geographical expansion of cities. Already, the top 600 cities of the world are producing 60% of the total global GDP, with only 20% of the population. Up to 60% of current mobile broadband data traffic is generated by the 30% of the global population that lives in cities with a population density of more than 1 000 people per square kilometre</w:t>
      </w:r>
      <w:r w:rsidRPr="00AF5796">
        <w:rPr>
          <w:rStyle w:val="FootnoteReference"/>
          <w:lang w:val="en-US"/>
        </w:rPr>
        <w:footnoteReference w:id="14"/>
      </w:r>
      <w:r w:rsidRPr="00AF5796">
        <w:rPr>
          <w:lang w:val="en-US"/>
        </w:rPr>
        <w:t xml:space="preserve">. Therefore, investments in infrastructure, including telecommunications, are essential to cope with this expected migration. </w:t>
      </w:r>
    </w:p>
    <w:p w:rsidR="005D2DA7" w:rsidRPr="00AF5796" w:rsidRDefault="005D2DA7" w:rsidP="005D2DA7">
      <w:pPr>
        <w:rPr>
          <w:lang w:val="en-US"/>
        </w:rPr>
      </w:pPr>
      <w:r w:rsidRPr="00AF5796">
        <w:rPr>
          <w:lang w:val="en-US"/>
        </w:rPr>
        <w:t xml:space="preserve">Cities will evolve, and future policies being applied to communication networks operations, including the necessary spectrum regulation, to a great extent, will be defined by the large cities. </w:t>
      </w:r>
    </w:p>
    <w:p w:rsidR="005D2DA7" w:rsidRPr="00AF5796" w:rsidRDefault="005D2DA7" w:rsidP="005D2DA7">
      <w:pPr>
        <w:rPr>
          <w:lang w:val="en-US"/>
        </w:rPr>
      </w:pPr>
      <w:r w:rsidRPr="00AF5796">
        <w:rPr>
          <w:lang w:val="en-US"/>
        </w:rPr>
        <w:t>City planners need to address environmental issues, climate change, poverty and illiteracy. In addition, there is a need to provide intelligent transport solutions, and speed up the flow of people, goods and services which will in turn reduce fuel consumption. Smart grids can increase energy efficiency, enable more renewable energy sources and support the widespread deployment of electric cars. All of these can be supported by the deployment of broadband mobile telecommunications networks.</w:t>
      </w:r>
    </w:p>
    <w:p w:rsidR="005D2DA7" w:rsidRPr="00AF5796" w:rsidRDefault="005D2DA7" w:rsidP="005D2DA7">
      <w:pPr>
        <w:tabs>
          <w:tab w:val="left" w:pos="426"/>
        </w:tabs>
        <w:rPr>
          <w:lang w:val="en-US"/>
        </w:rPr>
      </w:pPr>
      <w:r w:rsidRPr="00AF5796">
        <w:rPr>
          <w:lang w:val="en-US"/>
        </w:rPr>
        <w:t xml:space="preserve">The challenges vary from city to city, dependent on local and national circumstances, while noting that emerging-market cities also have unique opportunities, and can choose to “leapfrog” stages of development; emerging market cities can create solutions that are more efficient than those in many developed urban areas as they would not have to cope with legacy infrastructure. Broadband investments can have a strong impact, both direct and indirect, as mobile broadband spurs new consumer and producer behaviours, functionalities and businesses acting as a platform. </w:t>
      </w:r>
    </w:p>
    <w:p w:rsidR="005D2DA7" w:rsidRPr="00AF5796" w:rsidRDefault="005D2DA7" w:rsidP="005D2DA7">
      <w:pPr>
        <w:spacing w:after="120"/>
        <w:rPr>
          <w:lang w:val="en-US"/>
        </w:rPr>
      </w:pPr>
      <w:r w:rsidRPr="00AF5796">
        <w:rPr>
          <w:lang w:val="en-US"/>
        </w:rPr>
        <w:t>In conclusion, future mobile broadband traffic growth is likely to be driven by the growth of large cities.</w:t>
      </w:r>
    </w:p>
    <w:p w:rsidR="005D2DA7" w:rsidRPr="00AF5796" w:rsidRDefault="005D2DA7" w:rsidP="005D2DA7">
      <w:pPr>
        <w:pStyle w:val="Heading3"/>
        <w:rPr>
          <w:rFonts w:ascii="Calibri" w:eastAsia="Calibri" w:hAnsi="Calibri"/>
          <w:sz w:val="22"/>
          <w:szCs w:val="22"/>
          <w:lang w:val="en-US"/>
        </w:rPr>
      </w:pPr>
      <w:r w:rsidRPr="00AF5796">
        <w:rPr>
          <w:rFonts w:eastAsia="Calibri"/>
          <w:szCs w:val="22"/>
          <w:lang w:val="en-US"/>
        </w:rPr>
        <w:t>3.2.2</w:t>
      </w:r>
      <w:r w:rsidRPr="00AF5796">
        <w:rPr>
          <w:rFonts w:eastAsia="Calibri"/>
          <w:szCs w:val="22"/>
          <w:lang w:val="en-US"/>
        </w:rPr>
        <w:tab/>
      </w:r>
      <w:r w:rsidRPr="00AF5796">
        <w:rPr>
          <w:lang w:val="en-US"/>
        </w:rPr>
        <w:t>Connected</w:t>
      </w:r>
      <w:r w:rsidRPr="00AF5796">
        <w:rPr>
          <w:rFonts w:eastAsia="Calibri"/>
          <w:szCs w:val="22"/>
          <w:lang w:val="en-US"/>
        </w:rPr>
        <w:t xml:space="preserve"> </w:t>
      </w:r>
      <w:r w:rsidR="00C67FF6" w:rsidRPr="00AF5796">
        <w:rPr>
          <w:rFonts w:eastAsia="Calibri"/>
          <w:szCs w:val="22"/>
          <w:lang w:val="en-US"/>
        </w:rPr>
        <w:t>society</w:t>
      </w:r>
    </w:p>
    <w:p w:rsidR="005D2DA7" w:rsidRPr="00AF5796" w:rsidRDefault="005D2DA7" w:rsidP="005D2DA7">
      <w:pPr>
        <w:rPr>
          <w:lang w:val="en-US"/>
        </w:rPr>
      </w:pPr>
      <w:r w:rsidRPr="00AF5796">
        <w:rPr>
          <w:lang w:val="en-US"/>
        </w:rPr>
        <w:t>Connectivity in the context of digital economy implies all types of communications channels, including e-mails, chatting, tweets, social networks, Instagrams, video calls</w:t>
      </w:r>
      <w:r w:rsidR="007908BE">
        <w:rPr>
          <w:lang w:val="en-US"/>
        </w:rPr>
        <w:t>,</w:t>
      </w:r>
      <w:r w:rsidRPr="00AF5796">
        <w:rPr>
          <w:lang w:val="en-US"/>
        </w:rPr>
        <w:t xml:space="preserve"> etc. An increase in the number of channels and devices per person will result in traffic growth. </w:t>
      </w:r>
    </w:p>
    <w:p w:rsidR="005D2DA7" w:rsidRPr="00AF5796" w:rsidRDefault="005D2DA7" w:rsidP="005D2DA7">
      <w:pPr>
        <w:rPr>
          <w:lang w:val="en-US"/>
        </w:rPr>
      </w:pPr>
      <w:r w:rsidRPr="00AF5796">
        <w:rPr>
          <w:lang w:val="en-US"/>
        </w:rPr>
        <w:lastRenderedPageBreak/>
        <w:t>At the time of approval of this Report in 2015, about 28,000 GB of internet traffic is generated every second by, amongst other things, 2 400 000 emails, 9 400 Tweets, 2 200 Instagram photo uploads, 1 800 Skype calls, 2 000 Tumblr posts, 49 000 Google searches and 103 000 YouTube videos</w:t>
      </w:r>
      <w:r w:rsidRPr="00AF5796">
        <w:rPr>
          <w:rStyle w:val="FootnoteReference"/>
          <w:color w:val="000000"/>
          <w:lang w:val="en-US"/>
        </w:rPr>
        <w:footnoteReference w:id="15"/>
      </w:r>
      <w:r w:rsidRPr="00AF5796">
        <w:rPr>
          <w:lang w:val="en-US"/>
        </w:rPr>
        <w:t>.</w:t>
      </w:r>
      <w:r w:rsidRPr="00AF5796">
        <w:rPr>
          <w:rStyle w:val="FootnoteReference"/>
          <w:color w:val="000000"/>
          <w:lang w:val="en-US"/>
        </w:rPr>
        <w:t xml:space="preserve"> </w:t>
      </w:r>
    </w:p>
    <w:p w:rsidR="005D2DA7" w:rsidRPr="00AF5796" w:rsidRDefault="005D2DA7" w:rsidP="005D2DA7">
      <w:pPr>
        <w:rPr>
          <w:lang w:val="en-US"/>
        </w:rPr>
      </w:pPr>
      <w:r w:rsidRPr="00AF5796">
        <w:rPr>
          <w:lang w:val="en-US"/>
        </w:rPr>
        <w:t>These data imply that the digital economy is evolving quickly across all parts of the world, creating huge efficiency gains, but also enormous upheaval and disruption to traditional business.</w:t>
      </w:r>
    </w:p>
    <w:p w:rsidR="005D2DA7" w:rsidRPr="00AF5796" w:rsidRDefault="005D2DA7" w:rsidP="005D2DA7">
      <w:pPr>
        <w:rPr>
          <w:lang w:val="en-US"/>
        </w:rPr>
      </w:pPr>
      <w:r w:rsidRPr="00AF5796">
        <w:rPr>
          <w:lang w:val="en-US"/>
        </w:rPr>
        <w:t>Moreover, increased use of mobile to replace face-to-face activities and other traditional forms of communication should also be taken into account. These can include the following:</w:t>
      </w:r>
    </w:p>
    <w:p w:rsidR="005D2DA7" w:rsidRPr="00AF5796" w:rsidRDefault="005D2DA7" w:rsidP="005D2DA7">
      <w:pPr>
        <w:pStyle w:val="enumlev1"/>
        <w:rPr>
          <w:lang w:val="en-US"/>
        </w:rPr>
      </w:pPr>
      <w:r w:rsidRPr="00AF5796">
        <w:rPr>
          <w:lang w:val="en-US"/>
        </w:rPr>
        <w:t>–</w:t>
      </w:r>
      <w:r w:rsidRPr="00AF5796">
        <w:rPr>
          <w:lang w:val="en-US"/>
        </w:rPr>
        <w:tab/>
        <w:t>Online shopping overtaking traditional way of purchasing items in real time.</w:t>
      </w:r>
    </w:p>
    <w:p w:rsidR="005D2DA7" w:rsidRPr="00AF5796" w:rsidRDefault="005D2DA7" w:rsidP="005D2DA7">
      <w:pPr>
        <w:pStyle w:val="enumlev1"/>
        <w:rPr>
          <w:lang w:val="en-US"/>
        </w:rPr>
      </w:pPr>
      <w:r w:rsidRPr="00AF5796">
        <w:rPr>
          <w:lang w:val="en-US"/>
        </w:rPr>
        <w:t>–</w:t>
      </w:r>
      <w:r w:rsidRPr="00AF5796">
        <w:rPr>
          <w:lang w:val="en-US"/>
        </w:rPr>
        <w:tab/>
        <w:t>An increase in online education as a complement to classrooms.</w:t>
      </w:r>
    </w:p>
    <w:p w:rsidR="005D2DA7" w:rsidRPr="00AF5796" w:rsidRDefault="005D2DA7" w:rsidP="005D2DA7">
      <w:pPr>
        <w:pStyle w:val="enumlev1"/>
        <w:rPr>
          <w:lang w:val="en-US"/>
        </w:rPr>
      </w:pPr>
      <w:r w:rsidRPr="00AF5796">
        <w:rPr>
          <w:lang w:val="en-US"/>
        </w:rPr>
        <w:t>–</w:t>
      </w:r>
      <w:r w:rsidRPr="00AF5796">
        <w:rPr>
          <w:lang w:val="en-US"/>
        </w:rPr>
        <w:tab/>
        <w:t>Paperless billing and electronic payments overtaking paper bills/checks through the mail.</w:t>
      </w:r>
    </w:p>
    <w:p w:rsidR="005D2DA7" w:rsidRPr="00AF5796" w:rsidRDefault="005D2DA7" w:rsidP="005D2DA7">
      <w:pPr>
        <w:pStyle w:val="enumlev1"/>
        <w:rPr>
          <w:lang w:val="en-US"/>
        </w:rPr>
      </w:pPr>
      <w:r w:rsidRPr="00AF5796">
        <w:rPr>
          <w:lang w:val="en-US"/>
        </w:rPr>
        <w:t>–</w:t>
      </w:r>
      <w:r w:rsidRPr="00AF5796">
        <w:rPr>
          <w:lang w:val="en-US"/>
        </w:rPr>
        <w:tab/>
        <w:t>More video and audio conferencing taking the place of face-to-face meetings, etc.</w:t>
      </w:r>
    </w:p>
    <w:p w:rsidR="005D2DA7" w:rsidRPr="00AF5796" w:rsidRDefault="005D2DA7" w:rsidP="005D2DA7">
      <w:pPr>
        <w:rPr>
          <w:lang w:val="en-US"/>
        </w:rPr>
      </w:pPr>
      <w:r w:rsidRPr="00AF5796">
        <w:rPr>
          <w:lang w:val="en-US"/>
        </w:rPr>
        <w:t>Since all these services will be accessible by</w:t>
      </w:r>
      <w:r w:rsidRPr="00AF5796">
        <w:rPr>
          <w:color w:val="1F497D"/>
          <w:lang w:val="en-US"/>
        </w:rPr>
        <w:t xml:space="preserve"> </w:t>
      </w:r>
      <w:r w:rsidRPr="00AF5796">
        <w:rPr>
          <w:lang w:val="en-US"/>
        </w:rPr>
        <w:t xml:space="preserve">mobile devices, and eventually will contribute to improvements in social welfare; they will also generate significant additional mobile traffic. </w:t>
      </w:r>
    </w:p>
    <w:p w:rsidR="005D2DA7" w:rsidRPr="00AF5796" w:rsidRDefault="005D2DA7" w:rsidP="00724411">
      <w:pPr>
        <w:pStyle w:val="Heading1"/>
        <w:rPr>
          <w:rFonts w:eastAsia="MS Mincho"/>
          <w:lang w:val="en-US"/>
        </w:rPr>
      </w:pPr>
      <w:bookmarkStart w:id="19" w:name="_MON_1482940215"/>
      <w:bookmarkStart w:id="20" w:name="_MON_1482939940"/>
      <w:bookmarkStart w:id="21" w:name="_MON_1294162583"/>
      <w:bookmarkStart w:id="22" w:name="_Toc427932297"/>
      <w:bookmarkStart w:id="23" w:name="_Toc427935106"/>
      <w:bookmarkEnd w:id="19"/>
      <w:bookmarkEnd w:id="20"/>
      <w:bookmarkEnd w:id="21"/>
      <w:r w:rsidRPr="00AF5796">
        <w:rPr>
          <w:rFonts w:eastAsia="MS Mincho"/>
          <w:lang w:val="en-US"/>
        </w:rPr>
        <w:t>4</w:t>
      </w:r>
      <w:r w:rsidRPr="00AF5796">
        <w:rPr>
          <w:rFonts w:eastAsia="MS Mincho"/>
          <w:lang w:val="en-US"/>
        </w:rPr>
        <w:tab/>
        <w:t>Mobile device proliferation</w:t>
      </w:r>
      <w:bookmarkEnd w:id="22"/>
      <w:bookmarkEnd w:id="23"/>
    </w:p>
    <w:p w:rsidR="005D2DA7" w:rsidRPr="00AF5796" w:rsidRDefault="005D2DA7" w:rsidP="003173A1">
      <w:pPr>
        <w:pStyle w:val="Heading2"/>
        <w:rPr>
          <w:lang w:val="en-US"/>
        </w:rPr>
      </w:pPr>
      <w:bookmarkStart w:id="24" w:name="_Toc427932298"/>
      <w:bookmarkStart w:id="25" w:name="_Toc427935107"/>
      <w:r w:rsidRPr="00AF5796">
        <w:rPr>
          <w:lang w:val="en-US"/>
        </w:rPr>
        <w:t>4.1</w:t>
      </w:r>
      <w:r w:rsidRPr="00AF5796">
        <w:rPr>
          <w:lang w:val="en-US"/>
        </w:rPr>
        <w:tab/>
        <w:t xml:space="preserve">Statistical </w:t>
      </w:r>
      <w:r w:rsidR="00C67FF6" w:rsidRPr="00AF5796">
        <w:rPr>
          <w:lang w:val="en-US"/>
        </w:rPr>
        <w:t>information</w:t>
      </w:r>
      <w:bookmarkEnd w:id="24"/>
      <w:bookmarkEnd w:id="25"/>
    </w:p>
    <w:p w:rsidR="005D2DA7" w:rsidRPr="00AF5796" w:rsidRDefault="005D2DA7" w:rsidP="00CE6198">
      <w:pPr>
        <w:spacing w:after="120"/>
        <w:rPr>
          <w:lang w:val="en-US" w:eastAsia="zh-CN"/>
        </w:rPr>
      </w:pPr>
      <w:r w:rsidRPr="00AF5796">
        <w:rPr>
          <w:lang w:val="en-US" w:eastAsia="ja-JP"/>
        </w:rPr>
        <w:t xml:space="preserve">The growth in smartphone subscriptions has been extensive in recent years. </w:t>
      </w:r>
      <w:r w:rsidRPr="00AF5796">
        <w:rPr>
          <w:lang w:val="en-US" w:eastAsia="zh-CN"/>
        </w:rPr>
        <w:t xml:space="preserve">From 2010 to 2013, the global number of smartphone subscriptions grew 280% from 0.5 billion to 1.9 billion. Also, in the same timeframe, as can be seen from </w:t>
      </w:r>
      <w:r w:rsidR="00934A49" w:rsidRPr="00AF5796">
        <w:rPr>
          <w:lang w:val="en-US" w:eastAsia="zh-CN"/>
        </w:rPr>
        <w:t xml:space="preserve">Fig. </w:t>
      </w:r>
      <w:r w:rsidRPr="00AF5796">
        <w:rPr>
          <w:lang w:val="en-US" w:eastAsia="zh-CN"/>
        </w:rPr>
        <w:t xml:space="preserve">2, mobile PCs and tablets increased from 150 million to 300 million. </w:t>
      </w:r>
    </w:p>
    <w:p w:rsidR="005D2DA7" w:rsidRPr="00AF5796" w:rsidRDefault="005D2DA7" w:rsidP="005D2DA7">
      <w:pPr>
        <w:pStyle w:val="FigureNo"/>
        <w:spacing w:before="360"/>
        <w:rPr>
          <w:lang w:val="en-US" w:eastAsia="ja-JP"/>
        </w:rPr>
      </w:pPr>
      <w:r w:rsidRPr="00AF5796">
        <w:rPr>
          <w:lang w:val="en-US" w:eastAsia="zh-CN"/>
        </w:rPr>
        <w:t xml:space="preserve">Figure </w:t>
      </w:r>
      <w:r w:rsidRPr="00AF5796">
        <w:rPr>
          <w:lang w:val="en-US" w:eastAsia="ja-JP"/>
        </w:rPr>
        <w:t>2</w:t>
      </w:r>
    </w:p>
    <w:p w:rsidR="005D2DA7" w:rsidRPr="00AF5796" w:rsidRDefault="005D2DA7" w:rsidP="005D2DA7">
      <w:pPr>
        <w:pStyle w:val="Figuretitle"/>
        <w:spacing w:after="240"/>
        <w:rPr>
          <w:lang w:val="en-US" w:eastAsia="zh-CN"/>
        </w:rPr>
      </w:pPr>
      <w:r w:rsidRPr="00AF5796">
        <w:rPr>
          <w:lang w:val="en-US" w:eastAsia="zh-CN"/>
        </w:rPr>
        <w:t>Statistics on global smartphone and tablets subscriptions</w:t>
      </w:r>
    </w:p>
    <w:p w:rsidR="005D2DA7" w:rsidRPr="00AF5796" w:rsidRDefault="005D2DA7" w:rsidP="00007F6F">
      <w:pPr>
        <w:pStyle w:val="Figure"/>
        <w:rPr>
          <w:lang w:val="en-US"/>
        </w:rPr>
      </w:pPr>
      <w:r w:rsidRPr="00AF5796">
        <w:rPr>
          <w:noProof/>
          <w:lang w:val="en-US" w:eastAsia="zh-CN"/>
        </w:rPr>
        <w:drawing>
          <wp:inline distT="0" distB="0" distL="0" distR="0" wp14:anchorId="03BE52AE" wp14:editId="377690EA">
            <wp:extent cx="4212210" cy="3035808"/>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1785" cy="3049916"/>
                    </a:xfrm>
                    <a:prstGeom prst="rect">
                      <a:avLst/>
                    </a:prstGeom>
                    <a:noFill/>
                    <a:ln>
                      <a:noFill/>
                    </a:ln>
                  </pic:spPr>
                </pic:pic>
              </a:graphicData>
            </a:graphic>
          </wp:inline>
        </w:drawing>
      </w:r>
    </w:p>
    <w:p w:rsidR="005D2DA7" w:rsidRPr="00AF5796" w:rsidRDefault="005D2DA7" w:rsidP="006B452B">
      <w:pPr>
        <w:spacing w:before="0"/>
        <w:rPr>
          <w:lang w:val="en-US" w:eastAsia="zh-CN"/>
        </w:rPr>
      </w:pPr>
      <w:r w:rsidRPr="00AF5796">
        <w:rPr>
          <w:lang w:val="en-US" w:eastAsia="zh-CN"/>
        </w:rPr>
        <w:lastRenderedPageBreak/>
        <w:t xml:space="preserve">Statistical information figures from </w:t>
      </w:r>
      <w:r w:rsidRPr="00AF5796">
        <w:rPr>
          <w:lang w:val="en-US" w:eastAsia="ja-JP"/>
        </w:rPr>
        <w:t xml:space="preserve">the </w:t>
      </w:r>
      <w:r w:rsidRPr="00AF5796">
        <w:rPr>
          <w:lang w:val="en-US" w:eastAsia="zh-CN"/>
        </w:rPr>
        <w:t xml:space="preserve">ITU ICT statistics </w:t>
      </w:r>
      <w:r w:rsidRPr="00AF5796">
        <w:rPr>
          <w:lang w:val="en-US" w:eastAsia="ja-JP"/>
        </w:rPr>
        <w:t>web-page (reproduced in Table 2 below) also show an</w:t>
      </w:r>
      <w:r w:rsidRPr="00AF5796">
        <w:rPr>
          <w:lang w:val="en-US" w:eastAsia="zh-CN"/>
        </w:rPr>
        <w:t xml:space="preserve"> increase </w:t>
      </w:r>
      <w:r w:rsidRPr="00AF5796">
        <w:rPr>
          <w:lang w:val="en-US" w:eastAsia="ja-JP"/>
        </w:rPr>
        <w:t>in the growth rate of</w:t>
      </w:r>
      <w:r w:rsidRPr="00AF5796">
        <w:rPr>
          <w:lang w:val="en-US" w:eastAsia="zh-CN"/>
        </w:rPr>
        <w:t xml:space="preserve"> MBB subscriptions. From 2007 </w:t>
      </w:r>
      <w:r w:rsidRPr="00AF5796">
        <w:rPr>
          <w:lang w:val="en-US" w:eastAsia="ja-JP"/>
        </w:rPr>
        <w:t xml:space="preserve">to 2014, global MBB subscriptions </w:t>
      </w:r>
      <w:r w:rsidRPr="00AF5796">
        <w:rPr>
          <w:lang w:val="en-US" w:eastAsia="zh-CN"/>
        </w:rPr>
        <w:t xml:space="preserve">numbers climbed by 764% and growth in developing countries was extensive; </w:t>
      </w:r>
      <w:r w:rsidRPr="00AF5796">
        <w:rPr>
          <w:lang w:val="en-US" w:eastAsia="ja-JP"/>
        </w:rPr>
        <w:t>from 43</w:t>
      </w:r>
      <w:r w:rsidR="006B452B" w:rsidRPr="00AF5796">
        <w:rPr>
          <w:lang w:val="en-US" w:eastAsia="ja-JP"/>
        </w:rPr>
        <w:t> </w:t>
      </w:r>
      <w:r w:rsidRPr="00AF5796">
        <w:rPr>
          <w:lang w:val="en-US" w:eastAsia="ja-JP"/>
        </w:rPr>
        <w:t>million to 1</w:t>
      </w:r>
      <w:r w:rsidR="007B7155">
        <w:rPr>
          <w:lang w:val="en-US" w:eastAsia="ja-JP"/>
        </w:rPr>
        <w:t> </w:t>
      </w:r>
      <w:r w:rsidRPr="00AF5796">
        <w:rPr>
          <w:lang w:val="en-US" w:eastAsia="ja-JP"/>
        </w:rPr>
        <w:t>265 million, which is nearly 3</w:t>
      </w:r>
      <w:r w:rsidR="007B7155">
        <w:rPr>
          <w:lang w:val="en-US" w:eastAsia="ja-JP"/>
        </w:rPr>
        <w:t> </w:t>
      </w:r>
      <w:r w:rsidRPr="00AF5796">
        <w:rPr>
          <w:lang w:val="en-US" w:eastAsia="ja-JP"/>
        </w:rPr>
        <w:t>000%</w:t>
      </w:r>
      <w:r w:rsidRPr="00AF5796">
        <w:rPr>
          <w:lang w:val="en-US" w:eastAsia="zh-CN"/>
        </w:rPr>
        <w:t>.</w:t>
      </w:r>
    </w:p>
    <w:p w:rsidR="005D2DA7" w:rsidRPr="00AF5796" w:rsidRDefault="005D2DA7" w:rsidP="005D2DA7">
      <w:pPr>
        <w:pStyle w:val="TableNo"/>
        <w:rPr>
          <w:lang w:val="en-US" w:eastAsia="ja-JP"/>
        </w:rPr>
      </w:pPr>
      <w:r w:rsidRPr="00AF5796">
        <w:rPr>
          <w:lang w:val="en-US" w:eastAsia="ja-JP"/>
        </w:rPr>
        <w:t>TABLE 2</w:t>
      </w:r>
    </w:p>
    <w:p w:rsidR="005D2DA7" w:rsidRPr="00AF5796" w:rsidRDefault="005D2DA7" w:rsidP="00F22193">
      <w:pPr>
        <w:pStyle w:val="Tabletitle"/>
        <w:rPr>
          <w:vertAlign w:val="superscript"/>
          <w:lang w:val="en-US" w:eastAsia="ja-JP"/>
        </w:rPr>
      </w:pPr>
      <w:r w:rsidRPr="00AF5796">
        <w:rPr>
          <w:lang w:val="en-US" w:eastAsia="ja-JP"/>
        </w:rPr>
        <w:t>MBB subscriptions from the ITU ICT Statistics</w:t>
      </w:r>
      <w:r w:rsidRPr="00AF5796">
        <w:rPr>
          <w:vertAlign w:val="superscript"/>
          <w:lang w:val="en-US" w:eastAsia="ja-JP"/>
        </w:rPr>
        <w:t>(1)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9"/>
        <w:gridCol w:w="808"/>
        <w:gridCol w:w="808"/>
        <w:gridCol w:w="808"/>
        <w:gridCol w:w="913"/>
        <w:gridCol w:w="1002"/>
        <w:gridCol w:w="970"/>
        <w:gridCol w:w="969"/>
      </w:tblGrid>
      <w:tr w:rsidR="005D2DA7" w:rsidRPr="00AF5796" w:rsidTr="00CE6198">
        <w:trPr>
          <w:jc w:val="center"/>
        </w:trPr>
        <w:tc>
          <w:tcPr>
            <w:tcW w:w="7366" w:type="dxa"/>
            <w:gridSpan w:val="9"/>
            <w:vAlign w:val="center"/>
          </w:tcPr>
          <w:p w:rsidR="005D2DA7" w:rsidRPr="00AF5796" w:rsidRDefault="005D2DA7" w:rsidP="00CE6198">
            <w:pPr>
              <w:pStyle w:val="Tablehead"/>
              <w:rPr>
                <w:lang w:val="en-US"/>
              </w:rPr>
            </w:pPr>
            <w:r w:rsidRPr="00AF5796">
              <w:rPr>
                <w:lang w:val="en-US" w:eastAsia="ja-JP"/>
              </w:rPr>
              <w:t>Active mobile-broadband subscriptions (millions)</w:t>
            </w:r>
          </w:p>
        </w:tc>
      </w:tr>
      <w:tr w:rsidR="005D2DA7" w:rsidRPr="00AF5796" w:rsidTr="00CE6198">
        <w:trPr>
          <w:jc w:val="center"/>
        </w:trPr>
        <w:tc>
          <w:tcPr>
            <w:tcW w:w="1150" w:type="dxa"/>
            <w:vAlign w:val="center"/>
          </w:tcPr>
          <w:p w:rsidR="005D2DA7" w:rsidRPr="00AF5796" w:rsidRDefault="005D2DA7" w:rsidP="00CE6198">
            <w:pPr>
              <w:pStyle w:val="Tablehead"/>
              <w:rPr>
                <w:lang w:val="en-US"/>
              </w:rPr>
            </w:pPr>
            <w:r w:rsidRPr="00AF5796">
              <w:rPr>
                <w:lang w:val="en-US"/>
              </w:rPr>
              <w:t>Years</w:t>
            </w:r>
          </w:p>
        </w:tc>
        <w:tc>
          <w:tcPr>
            <w:tcW w:w="709" w:type="dxa"/>
            <w:vAlign w:val="center"/>
          </w:tcPr>
          <w:p w:rsidR="005D2DA7" w:rsidRPr="00AF5796" w:rsidRDefault="005D2DA7" w:rsidP="00CE6198">
            <w:pPr>
              <w:pStyle w:val="Tablehead"/>
              <w:rPr>
                <w:lang w:val="en-US"/>
              </w:rPr>
            </w:pPr>
            <w:r w:rsidRPr="00AF5796">
              <w:rPr>
                <w:lang w:val="en-US"/>
              </w:rPr>
              <w:t>2007</w:t>
            </w:r>
          </w:p>
        </w:tc>
        <w:tc>
          <w:tcPr>
            <w:tcW w:w="708" w:type="dxa"/>
            <w:vAlign w:val="center"/>
          </w:tcPr>
          <w:p w:rsidR="005D2DA7" w:rsidRPr="00AF5796" w:rsidRDefault="005D2DA7" w:rsidP="00CE6198">
            <w:pPr>
              <w:pStyle w:val="Tablehead"/>
              <w:rPr>
                <w:lang w:val="en-US"/>
              </w:rPr>
            </w:pPr>
            <w:r w:rsidRPr="00AF5796">
              <w:rPr>
                <w:lang w:val="en-US"/>
              </w:rPr>
              <w:t>2008</w:t>
            </w:r>
          </w:p>
        </w:tc>
        <w:tc>
          <w:tcPr>
            <w:tcW w:w="709" w:type="dxa"/>
            <w:vAlign w:val="center"/>
          </w:tcPr>
          <w:p w:rsidR="005D2DA7" w:rsidRPr="00AF5796" w:rsidRDefault="005D2DA7" w:rsidP="00CE6198">
            <w:pPr>
              <w:pStyle w:val="Tablehead"/>
              <w:rPr>
                <w:lang w:val="en-US"/>
              </w:rPr>
            </w:pPr>
            <w:r w:rsidRPr="00AF5796">
              <w:rPr>
                <w:lang w:val="en-US"/>
              </w:rPr>
              <w:t>2009</w:t>
            </w:r>
          </w:p>
        </w:tc>
        <w:tc>
          <w:tcPr>
            <w:tcW w:w="709" w:type="dxa"/>
            <w:vAlign w:val="center"/>
          </w:tcPr>
          <w:p w:rsidR="005D2DA7" w:rsidRPr="00AF5796" w:rsidRDefault="005D2DA7" w:rsidP="00CE6198">
            <w:pPr>
              <w:pStyle w:val="Tablehead"/>
              <w:rPr>
                <w:lang w:val="en-US"/>
              </w:rPr>
            </w:pPr>
            <w:r w:rsidRPr="00AF5796">
              <w:rPr>
                <w:lang w:val="en-US"/>
              </w:rPr>
              <w:t>2010</w:t>
            </w:r>
          </w:p>
        </w:tc>
        <w:tc>
          <w:tcPr>
            <w:tcW w:w="801" w:type="dxa"/>
            <w:vAlign w:val="center"/>
          </w:tcPr>
          <w:p w:rsidR="005D2DA7" w:rsidRPr="00AF5796" w:rsidRDefault="005D2DA7" w:rsidP="00CE6198">
            <w:pPr>
              <w:pStyle w:val="Tablehead"/>
              <w:rPr>
                <w:lang w:val="en-US"/>
              </w:rPr>
            </w:pPr>
            <w:r w:rsidRPr="00AF5796">
              <w:rPr>
                <w:lang w:val="en-US"/>
              </w:rPr>
              <w:t>2011</w:t>
            </w:r>
          </w:p>
        </w:tc>
        <w:tc>
          <w:tcPr>
            <w:tcW w:w="879" w:type="dxa"/>
            <w:vAlign w:val="center"/>
          </w:tcPr>
          <w:p w:rsidR="005D2DA7" w:rsidRPr="00AF5796" w:rsidRDefault="005D2DA7" w:rsidP="00CE6198">
            <w:pPr>
              <w:pStyle w:val="Tablehead"/>
              <w:rPr>
                <w:lang w:val="en-US"/>
              </w:rPr>
            </w:pPr>
            <w:r w:rsidRPr="00AF5796">
              <w:rPr>
                <w:lang w:val="en-US"/>
              </w:rPr>
              <w:t>2012</w:t>
            </w:r>
          </w:p>
        </w:tc>
        <w:tc>
          <w:tcPr>
            <w:tcW w:w="851" w:type="dxa"/>
            <w:vAlign w:val="center"/>
          </w:tcPr>
          <w:p w:rsidR="005D2DA7" w:rsidRPr="00AF5796" w:rsidRDefault="005D2DA7" w:rsidP="00CE6198">
            <w:pPr>
              <w:pStyle w:val="Tablehead"/>
              <w:rPr>
                <w:lang w:val="en-US"/>
              </w:rPr>
            </w:pPr>
            <w:r w:rsidRPr="00AF5796">
              <w:rPr>
                <w:lang w:val="en-US"/>
              </w:rPr>
              <w:t>2013</w:t>
            </w:r>
          </w:p>
        </w:tc>
        <w:tc>
          <w:tcPr>
            <w:tcW w:w="850" w:type="dxa"/>
            <w:vAlign w:val="center"/>
          </w:tcPr>
          <w:p w:rsidR="005D2DA7" w:rsidRPr="00AF5796" w:rsidRDefault="005D2DA7" w:rsidP="00CE6198">
            <w:pPr>
              <w:pStyle w:val="Tablehead"/>
              <w:rPr>
                <w:lang w:val="en-US"/>
              </w:rPr>
            </w:pPr>
            <w:r w:rsidRPr="00AF5796">
              <w:rPr>
                <w:lang w:val="en-US"/>
              </w:rPr>
              <w:t>2014</w:t>
            </w:r>
            <w:r w:rsidRPr="00AF5796">
              <w:rPr>
                <w:vertAlign w:val="superscript"/>
                <w:lang w:val="en-US"/>
              </w:rPr>
              <w:t>(</w:t>
            </w:r>
            <w:r w:rsidRPr="00AF5796">
              <w:rPr>
                <w:vertAlign w:val="superscript"/>
                <w:lang w:val="en-US" w:eastAsia="ja-JP"/>
              </w:rPr>
              <w:t>2</w:t>
            </w:r>
            <w:r w:rsidRPr="00AF5796">
              <w:rPr>
                <w:vertAlign w:val="superscript"/>
                <w:lang w:val="en-US"/>
              </w:rPr>
              <w:t>)</w:t>
            </w:r>
          </w:p>
        </w:tc>
      </w:tr>
      <w:tr w:rsidR="005D2DA7" w:rsidRPr="00AF5796" w:rsidTr="00CE6198">
        <w:trPr>
          <w:jc w:val="center"/>
        </w:trPr>
        <w:tc>
          <w:tcPr>
            <w:tcW w:w="1150" w:type="dxa"/>
            <w:vAlign w:val="center"/>
          </w:tcPr>
          <w:p w:rsidR="005D2DA7" w:rsidRPr="00AF5796" w:rsidRDefault="005D2DA7" w:rsidP="00D513B3">
            <w:pPr>
              <w:pStyle w:val="Tabletext"/>
              <w:keepNext/>
              <w:rPr>
                <w:lang w:val="en-US"/>
              </w:rPr>
            </w:pPr>
            <w:r w:rsidRPr="00AF5796">
              <w:rPr>
                <w:lang w:val="en-US"/>
              </w:rPr>
              <w:t xml:space="preserve">Developed </w:t>
            </w:r>
          </w:p>
        </w:tc>
        <w:tc>
          <w:tcPr>
            <w:tcW w:w="709" w:type="dxa"/>
          </w:tcPr>
          <w:p w:rsidR="005D2DA7" w:rsidRPr="00AF5796" w:rsidRDefault="005D2DA7" w:rsidP="00D513B3">
            <w:pPr>
              <w:pStyle w:val="Tabletext"/>
              <w:keepNext/>
              <w:jc w:val="right"/>
              <w:rPr>
                <w:lang w:val="en-US"/>
              </w:rPr>
            </w:pPr>
            <w:r w:rsidRPr="00AF5796">
              <w:rPr>
                <w:lang w:val="en-US"/>
              </w:rPr>
              <w:t xml:space="preserve"> 225 </w:t>
            </w:r>
          </w:p>
        </w:tc>
        <w:tc>
          <w:tcPr>
            <w:tcW w:w="708" w:type="dxa"/>
          </w:tcPr>
          <w:p w:rsidR="005D2DA7" w:rsidRPr="00AF5796" w:rsidRDefault="005D2DA7" w:rsidP="00D513B3">
            <w:pPr>
              <w:pStyle w:val="Tabletext"/>
              <w:keepNext/>
              <w:jc w:val="right"/>
              <w:rPr>
                <w:lang w:val="en-US"/>
              </w:rPr>
            </w:pPr>
            <w:r w:rsidRPr="00AF5796">
              <w:rPr>
                <w:lang w:val="en-US"/>
              </w:rPr>
              <w:t xml:space="preserve"> 336 </w:t>
            </w:r>
          </w:p>
        </w:tc>
        <w:tc>
          <w:tcPr>
            <w:tcW w:w="709" w:type="dxa"/>
          </w:tcPr>
          <w:p w:rsidR="005D2DA7" w:rsidRPr="00AF5796" w:rsidRDefault="005D2DA7" w:rsidP="00D513B3">
            <w:pPr>
              <w:pStyle w:val="Tabletext"/>
              <w:keepNext/>
              <w:jc w:val="right"/>
              <w:rPr>
                <w:lang w:val="en-US"/>
              </w:rPr>
            </w:pPr>
            <w:r w:rsidRPr="00AF5796">
              <w:rPr>
                <w:lang w:val="en-US"/>
              </w:rPr>
              <w:t xml:space="preserve"> 450 </w:t>
            </w:r>
          </w:p>
        </w:tc>
        <w:tc>
          <w:tcPr>
            <w:tcW w:w="709" w:type="dxa"/>
          </w:tcPr>
          <w:p w:rsidR="005D2DA7" w:rsidRPr="00AF5796" w:rsidRDefault="005D2DA7" w:rsidP="00D513B3">
            <w:pPr>
              <w:pStyle w:val="Tabletext"/>
              <w:keepNext/>
              <w:jc w:val="right"/>
              <w:rPr>
                <w:lang w:val="en-US"/>
              </w:rPr>
            </w:pPr>
            <w:r w:rsidRPr="00AF5796">
              <w:rPr>
                <w:lang w:val="en-US"/>
              </w:rPr>
              <w:t xml:space="preserve"> 554 </w:t>
            </w:r>
          </w:p>
        </w:tc>
        <w:tc>
          <w:tcPr>
            <w:tcW w:w="801" w:type="dxa"/>
          </w:tcPr>
          <w:p w:rsidR="005D2DA7" w:rsidRPr="00AF5796" w:rsidRDefault="005D2DA7" w:rsidP="00D513B3">
            <w:pPr>
              <w:pStyle w:val="Tabletext"/>
              <w:keepNext/>
              <w:jc w:val="right"/>
              <w:rPr>
                <w:lang w:val="en-US"/>
              </w:rPr>
            </w:pPr>
            <w:r w:rsidRPr="00AF5796">
              <w:rPr>
                <w:lang w:val="en-US"/>
              </w:rPr>
              <w:t xml:space="preserve"> 707 </w:t>
            </w:r>
          </w:p>
        </w:tc>
        <w:tc>
          <w:tcPr>
            <w:tcW w:w="879" w:type="dxa"/>
          </w:tcPr>
          <w:p w:rsidR="005D2DA7" w:rsidRPr="00AF5796" w:rsidRDefault="005D2DA7" w:rsidP="00D513B3">
            <w:pPr>
              <w:pStyle w:val="Tabletext"/>
              <w:keepNext/>
              <w:jc w:val="right"/>
              <w:rPr>
                <w:lang w:val="en-US"/>
              </w:rPr>
            </w:pPr>
            <w:r w:rsidRPr="00AF5796">
              <w:rPr>
                <w:lang w:val="en-US"/>
              </w:rPr>
              <w:t xml:space="preserve"> 828 </w:t>
            </w:r>
          </w:p>
        </w:tc>
        <w:tc>
          <w:tcPr>
            <w:tcW w:w="851" w:type="dxa"/>
          </w:tcPr>
          <w:p w:rsidR="005D2DA7" w:rsidRPr="00AF5796" w:rsidRDefault="005D2DA7" w:rsidP="00D513B3">
            <w:pPr>
              <w:pStyle w:val="Tabletext"/>
              <w:keepNext/>
              <w:jc w:val="right"/>
              <w:rPr>
                <w:lang w:val="en-US"/>
              </w:rPr>
            </w:pPr>
            <w:r w:rsidRPr="00AF5796">
              <w:rPr>
                <w:lang w:val="en-US"/>
              </w:rPr>
              <w:t xml:space="preserve"> 939 </w:t>
            </w:r>
          </w:p>
        </w:tc>
        <w:tc>
          <w:tcPr>
            <w:tcW w:w="850" w:type="dxa"/>
          </w:tcPr>
          <w:p w:rsidR="005D2DA7" w:rsidRPr="00AF5796" w:rsidRDefault="005D2DA7" w:rsidP="00D513B3">
            <w:pPr>
              <w:pStyle w:val="Tabletext"/>
              <w:keepNext/>
              <w:jc w:val="right"/>
              <w:rPr>
                <w:lang w:val="en-US"/>
              </w:rPr>
            </w:pPr>
            <w:r w:rsidRPr="00AF5796">
              <w:rPr>
                <w:lang w:val="en-US"/>
              </w:rPr>
              <w:t xml:space="preserve"> 1 050 </w:t>
            </w:r>
          </w:p>
        </w:tc>
      </w:tr>
      <w:tr w:rsidR="005D2DA7" w:rsidRPr="00AF5796" w:rsidTr="00CE6198">
        <w:trPr>
          <w:jc w:val="center"/>
        </w:trPr>
        <w:tc>
          <w:tcPr>
            <w:tcW w:w="1150" w:type="dxa"/>
            <w:vAlign w:val="center"/>
          </w:tcPr>
          <w:p w:rsidR="005D2DA7" w:rsidRPr="00AF5796" w:rsidRDefault="005D2DA7" w:rsidP="00D513B3">
            <w:pPr>
              <w:pStyle w:val="Tabletext"/>
              <w:keepNext/>
              <w:rPr>
                <w:lang w:val="en-US"/>
              </w:rPr>
            </w:pPr>
            <w:r w:rsidRPr="00AF5796">
              <w:rPr>
                <w:lang w:val="en-US"/>
              </w:rPr>
              <w:t xml:space="preserve">Developing </w:t>
            </w:r>
          </w:p>
        </w:tc>
        <w:tc>
          <w:tcPr>
            <w:tcW w:w="709" w:type="dxa"/>
          </w:tcPr>
          <w:p w:rsidR="005D2DA7" w:rsidRPr="00AF5796" w:rsidRDefault="005D2DA7" w:rsidP="00D513B3">
            <w:pPr>
              <w:pStyle w:val="Tabletext"/>
              <w:keepNext/>
              <w:jc w:val="right"/>
              <w:rPr>
                <w:lang w:val="en-US"/>
              </w:rPr>
            </w:pPr>
            <w:r w:rsidRPr="00AF5796">
              <w:rPr>
                <w:lang w:val="en-US"/>
              </w:rPr>
              <w:t xml:space="preserve"> 43 </w:t>
            </w:r>
          </w:p>
        </w:tc>
        <w:tc>
          <w:tcPr>
            <w:tcW w:w="708" w:type="dxa"/>
          </w:tcPr>
          <w:p w:rsidR="005D2DA7" w:rsidRPr="00AF5796" w:rsidRDefault="005D2DA7" w:rsidP="00D513B3">
            <w:pPr>
              <w:pStyle w:val="Tabletext"/>
              <w:keepNext/>
              <w:jc w:val="right"/>
              <w:rPr>
                <w:lang w:val="en-US"/>
              </w:rPr>
            </w:pPr>
            <w:r w:rsidRPr="00AF5796">
              <w:rPr>
                <w:lang w:val="en-US"/>
              </w:rPr>
              <w:t xml:space="preserve"> 86 </w:t>
            </w:r>
          </w:p>
        </w:tc>
        <w:tc>
          <w:tcPr>
            <w:tcW w:w="709" w:type="dxa"/>
          </w:tcPr>
          <w:p w:rsidR="005D2DA7" w:rsidRPr="00AF5796" w:rsidRDefault="005D2DA7" w:rsidP="00D513B3">
            <w:pPr>
              <w:pStyle w:val="Tabletext"/>
              <w:keepNext/>
              <w:jc w:val="right"/>
              <w:rPr>
                <w:lang w:val="en-US"/>
              </w:rPr>
            </w:pPr>
            <w:r w:rsidRPr="00AF5796">
              <w:rPr>
                <w:lang w:val="en-US"/>
              </w:rPr>
              <w:t xml:space="preserve"> 165 </w:t>
            </w:r>
          </w:p>
        </w:tc>
        <w:tc>
          <w:tcPr>
            <w:tcW w:w="709" w:type="dxa"/>
          </w:tcPr>
          <w:p w:rsidR="005D2DA7" w:rsidRPr="00AF5796" w:rsidRDefault="005D2DA7" w:rsidP="00D513B3">
            <w:pPr>
              <w:pStyle w:val="Tabletext"/>
              <w:keepNext/>
              <w:jc w:val="right"/>
              <w:rPr>
                <w:lang w:val="en-US"/>
              </w:rPr>
            </w:pPr>
            <w:r w:rsidRPr="00AF5796">
              <w:rPr>
                <w:lang w:val="en-US"/>
              </w:rPr>
              <w:t xml:space="preserve"> 253 </w:t>
            </w:r>
          </w:p>
        </w:tc>
        <w:tc>
          <w:tcPr>
            <w:tcW w:w="801" w:type="dxa"/>
          </w:tcPr>
          <w:p w:rsidR="005D2DA7" w:rsidRPr="00AF5796" w:rsidRDefault="005D2DA7" w:rsidP="00D513B3">
            <w:pPr>
              <w:pStyle w:val="Tabletext"/>
              <w:keepNext/>
              <w:jc w:val="right"/>
              <w:rPr>
                <w:lang w:val="en-US"/>
              </w:rPr>
            </w:pPr>
            <w:r w:rsidRPr="00AF5796">
              <w:rPr>
                <w:lang w:val="en-US"/>
              </w:rPr>
              <w:t xml:space="preserve"> 475 </w:t>
            </w:r>
          </w:p>
        </w:tc>
        <w:tc>
          <w:tcPr>
            <w:tcW w:w="879" w:type="dxa"/>
          </w:tcPr>
          <w:p w:rsidR="005D2DA7" w:rsidRPr="00AF5796" w:rsidRDefault="005D2DA7" w:rsidP="00D513B3">
            <w:pPr>
              <w:pStyle w:val="Tabletext"/>
              <w:keepNext/>
              <w:jc w:val="right"/>
              <w:rPr>
                <w:lang w:val="en-US"/>
              </w:rPr>
            </w:pPr>
            <w:r w:rsidRPr="00AF5796">
              <w:rPr>
                <w:lang w:val="en-US"/>
              </w:rPr>
              <w:t xml:space="preserve"> 726 </w:t>
            </w:r>
          </w:p>
        </w:tc>
        <w:tc>
          <w:tcPr>
            <w:tcW w:w="851" w:type="dxa"/>
          </w:tcPr>
          <w:p w:rsidR="005D2DA7" w:rsidRPr="00AF5796" w:rsidRDefault="005D2DA7" w:rsidP="00D513B3">
            <w:pPr>
              <w:pStyle w:val="Tabletext"/>
              <w:keepNext/>
              <w:jc w:val="right"/>
              <w:rPr>
                <w:lang w:val="en-US"/>
              </w:rPr>
            </w:pPr>
            <w:r w:rsidRPr="00AF5796">
              <w:rPr>
                <w:lang w:val="en-US"/>
              </w:rPr>
              <w:t xml:space="preserve"> 991 </w:t>
            </w:r>
          </w:p>
        </w:tc>
        <w:tc>
          <w:tcPr>
            <w:tcW w:w="850" w:type="dxa"/>
          </w:tcPr>
          <w:p w:rsidR="005D2DA7" w:rsidRPr="00AF5796" w:rsidRDefault="005D2DA7" w:rsidP="00D513B3">
            <w:pPr>
              <w:pStyle w:val="Tabletext"/>
              <w:keepNext/>
              <w:jc w:val="right"/>
              <w:rPr>
                <w:lang w:val="en-US"/>
              </w:rPr>
            </w:pPr>
            <w:r w:rsidRPr="00AF5796">
              <w:rPr>
                <w:lang w:val="en-US"/>
              </w:rPr>
              <w:t xml:space="preserve"> 1 265 </w:t>
            </w:r>
          </w:p>
        </w:tc>
      </w:tr>
      <w:tr w:rsidR="005D2DA7" w:rsidRPr="00AF5796" w:rsidTr="00CE6198">
        <w:trPr>
          <w:jc w:val="center"/>
        </w:trPr>
        <w:tc>
          <w:tcPr>
            <w:tcW w:w="1150" w:type="dxa"/>
            <w:vAlign w:val="center"/>
          </w:tcPr>
          <w:p w:rsidR="005D2DA7" w:rsidRPr="00AF5796" w:rsidRDefault="005D2DA7" w:rsidP="00D513B3">
            <w:pPr>
              <w:pStyle w:val="Tabletext"/>
              <w:keepNext/>
              <w:rPr>
                <w:lang w:val="en-US"/>
              </w:rPr>
            </w:pPr>
            <w:r w:rsidRPr="00AF5796">
              <w:rPr>
                <w:lang w:val="en-US"/>
              </w:rPr>
              <w:t xml:space="preserve">World </w:t>
            </w:r>
          </w:p>
        </w:tc>
        <w:tc>
          <w:tcPr>
            <w:tcW w:w="709" w:type="dxa"/>
          </w:tcPr>
          <w:p w:rsidR="005D2DA7" w:rsidRPr="00AF5796" w:rsidRDefault="005D2DA7" w:rsidP="00D513B3">
            <w:pPr>
              <w:pStyle w:val="Tabletext"/>
              <w:keepNext/>
              <w:jc w:val="right"/>
              <w:rPr>
                <w:lang w:val="en-US"/>
              </w:rPr>
            </w:pPr>
            <w:r w:rsidRPr="00AF5796">
              <w:rPr>
                <w:lang w:val="en-US"/>
              </w:rPr>
              <w:t xml:space="preserve"> 268 </w:t>
            </w:r>
          </w:p>
        </w:tc>
        <w:tc>
          <w:tcPr>
            <w:tcW w:w="708" w:type="dxa"/>
          </w:tcPr>
          <w:p w:rsidR="005D2DA7" w:rsidRPr="00AF5796" w:rsidRDefault="005D2DA7" w:rsidP="00D513B3">
            <w:pPr>
              <w:pStyle w:val="Tabletext"/>
              <w:keepNext/>
              <w:jc w:val="right"/>
              <w:rPr>
                <w:lang w:val="en-US"/>
              </w:rPr>
            </w:pPr>
            <w:r w:rsidRPr="00AF5796">
              <w:rPr>
                <w:lang w:val="en-US"/>
              </w:rPr>
              <w:t xml:space="preserve"> 422 </w:t>
            </w:r>
          </w:p>
        </w:tc>
        <w:tc>
          <w:tcPr>
            <w:tcW w:w="709" w:type="dxa"/>
          </w:tcPr>
          <w:p w:rsidR="005D2DA7" w:rsidRPr="00AF5796" w:rsidRDefault="005D2DA7" w:rsidP="00D513B3">
            <w:pPr>
              <w:pStyle w:val="Tabletext"/>
              <w:keepNext/>
              <w:jc w:val="right"/>
              <w:rPr>
                <w:lang w:val="en-US"/>
              </w:rPr>
            </w:pPr>
            <w:r w:rsidRPr="00AF5796">
              <w:rPr>
                <w:lang w:val="en-US"/>
              </w:rPr>
              <w:t xml:space="preserve"> 615 </w:t>
            </w:r>
          </w:p>
        </w:tc>
        <w:tc>
          <w:tcPr>
            <w:tcW w:w="709" w:type="dxa"/>
          </w:tcPr>
          <w:p w:rsidR="005D2DA7" w:rsidRPr="00AF5796" w:rsidRDefault="005D2DA7" w:rsidP="00D513B3">
            <w:pPr>
              <w:pStyle w:val="Tabletext"/>
              <w:keepNext/>
              <w:keepLines/>
              <w:jc w:val="right"/>
              <w:rPr>
                <w:lang w:val="en-US"/>
              </w:rPr>
            </w:pPr>
            <w:r w:rsidRPr="00AF5796">
              <w:rPr>
                <w:lang w:val="en-US"/>
              </w:rPr>
              <w:t xml:space="preserve"> 807 </w:t>
            </w:r>
          </w:p>
        </w:tc>
        <w:tc>
          <w:tcPr>
            <w:tcW w:w="801" w:type="dxa"/>
          </w:tcPr>
          <w:p w:rsidR="005D2DA7" w:rsidRPr="00AF5796" w:rsidRDefault="005D2DA7" w:rsidP="00D513B3">
            <w:pPr>
              <w:pStyle w:val="Tabletext"/>
              <w:keepNext/>
              <w:keepLines/>
              <w:jc w:val="right"/>
              <w:rPr>
                <w:lang w:val="en-US"/>
              </w:rPr>
            </w:pPr>
            <w:r w:rsidRPr="00AF5796">
              <w:rPr>
                <w:lang w:val="en-US"/>
              </w:rPr>
              <w:t xml:space="preserve"> 1 182 </w:t>
            </w:r>
          </w:p>
        </w:tc>
        <w:tc>
          <w:tcPr>
            <w:tcW w:w="879" w:type="dxa"/>
          </w:tcPr>
          <w:p w:rsidR="005D2DA7" w:rsidRPr="00AF5796" w:rsidRDefault="005D2DA7" w:rsidP="00D513B3">
            <w:pPr>
              <w:pStyle w:val="Tabletext"/>
              <w:keepNext/>
              <w:keepLines/>
              <w:jc w:val="right"/>
              <w:rPr>
                <w:lang w:val="en-US"/>
              </w:rPr>
            </w:pPr>
            <w:r w:rsidRPr="00AF5796">
              <w:rPr>
                <w:lang w:val="en-US"/>
              </w:rPr>
              <w:t xml:space="preserve"> 1 554 </w:t>
            </w:r>
          </w:p>
        </w:tc>
        <w:tc>
          <w:tcPr>
            <w:tcW w:w="851" w:type="dxa"/>
          </w:tcPr>
          <w:p w:rsidR="005D2DA7" w:rsidRPr="00AF5796" w:rsidRDefault="005D2DA7" w:rsidP="00D513B3">
            <w:pPr>
              <w:pStyle w:val="Tabletext"/>
              <w:keepNext/>
              <w:keepLines/>
              <w:jc w:val="right"/>
              <w:rPr>
                <w:lang w:val="en-US"/>
              </w:rPr>
            </w:pPr>
            <w:r w:rsidRPr="00AF5796">
              <w:rPr>
                <w:lang w:val="en-US"/>
              </w:rPr>
              <w:t xml:space="preserve"> 1 930 </w:t>
            </w:r>
          </w:p>
        </w:tc>
        <w:tc>
          <w:tcPr>
            <w:tcW w:w="850" w:type="dxa"/>
          </w:tcPr>
          <w:p w:rsidR="005D2DA7" w:rsidRPr="00AF5796" w:rsidRDefault="005D2DA7" w:rsidP="00D513B3">
            <w:pPr>
              <w:pStyle w:val="Tabletext"/>
              <w:keepNext/>
              <w:keepLines/>
              <w:jc w:val="right"/>
              <w:rPr>
                <w:lang w:val="en-US"/>
              </w:rPr>
            </w:pPr>
            <w:r w:rsidRPr="00AF5796">
              <w:rPr>
                <w:lang w:val="en-US"/>
              </w:rPr>
              <w:t xml:space="preserve"> 2 315 </w:t>
            </w:r>
          </w:p>
        </w:tc>
      </w:tr>
    </w:tbl>
    <w:p w:rsidR="005D2DA7" w:rsidRPr="00AF5796" w:rsidRDefault="005D2DA7" w:rsidP="005D2DA7">
      <w:pPr>
        <w:rPr>
          <w:b/>
          <w:sz w:val="18"/>
          <w:szCs w:val="18"/>
          <w:lang w:val="en-US" w:eastAsia="ja-JP"/>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24"/>
        <w:gridCol w:w="823"/>
        <w:gridCol w:w="824"/>
        <w:gridCol w:w="824"/>
        <w:gridCol w:w="824"/>
        <w:gridCol w:w="823"/>
        <w:gridCol w:w="824"/>
        <w:gridCol w:w="1033"/>
      </w:tblGrid>
      <w:tr w:rsidR="005D2DA7" w:rsidRPr="00AF4361" w:rsidTr="00F22193">
        <w:trPr>
          <w:jc w:val="center"/>
        </w:trPr>
        <w:tc>
          <w:tcPr>
            <w:tcW w:w="8505" w:type="dxa"/>
            <w:gridSpan w:val="9"/>
            <w:vAlign w:val="center"/>
          </w:tcPr>
          <w:p w:rsidR="005D2DA7" w:rsidRPr="00AF5796" w:rsidRDefault="005D2DA7" w:rsidP="009B49DC">
            <w:pPr>
              <w:pStyle w:val="Tablehead"/>
              <w:rPr>
                <w:lang w:val="en-US"/>
              </w:rPr>
            </w:pPr>
            <w:r w:rsidRPr="00AF5796">
              <w:rPr>
                <w:lang w:val="en-US" w:eastAsia="ja-JP"/>
              </w:rPr>
              <w:t>Active mobile-broadband subscriptions</w:t>
            </w:r>
            <w:r w:rsidRPr="00AF5796">
              <w:rPr>
                <w:lang w:val="en-US" w:eastAsia="de-DE"/>
              </w:rPr>
              <w:t xml:space="preserve"> – Penetration </w:t>
            </w:r>
            <w:r w:rsidR="009B49DC">
              <w:rPr>
                <w:lang w:val="en-US" w:eastAsia="de-DE"/>
              </w:rPr>
              <w:t>r</w:t>
            </w:r>
            <w:r w:rsidRPr="00AF5796">
              <w:rPr>
                <w:lang w:val="en-US" w:eastAsia="de-DE"/>
              </w:rPr>
              <w:t>ate (</w:t>
            </w:r>
            <w:r w:rsidRPr="00AF5796">
              <w:rPr>
                <w:lang w:val="en-US" w:eastAsia="ja-JP"/>
              </w:rPr>
              <w:t>%</w:t>
            </w:r>
            <w:r w:rsidRPr="00AF5796">
              <w:rPr>
                <w:lang w:val="en-US" w:eastAsia="de-DE"/>
              </w:rPr>
              <w:t>)</w:t>
            </w:r>
          </w:p>
        </w:tc>
      </w:tr>
      <w:tr w:rsidR="005D2DA7" w:rsidRPr="00AF5796" w:rsidTr="00F22193">
        <w:trPr>
          <w:jc w:val="center"/>
        </w:trPr>
        <w:tc>
          <w:tcPr>
            <w:tcW w:w="1706" w:type="dxa"/>
            <w:vAlign w:val="bottom"/>
          </w:tcPr>
          <w:p w:rsidR="005D2DA7" w:rsidRPr="00AF5796" w:rsidRDefault="005D2DA7" w:rsidP="00CE6198">
            <w:pPr>
              <w:pStyle w:val="Tablehead"/>
              <w:rPr>
                <w:lang w:val="en-US" w:eastAsia="de-DE"/>
              </w:rPr>
            </w:pPr>
            <w:r w:rsidRPr="00AF5796">
              <w:rPr>
                <w:rFonts w:eastAsia="SimSun"/>
                <w:lang w:val="en-US"/>
              </w:rPr>
              <w:t>Years</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2007</w:t>
            </w:r>
          </w:p>
        </w:tc>
        <w:tc>
          <w:tcPr>
            <w:tcW w:w="823" w:type="dxa"/>
            <w:vAlign w:val="center"/>
          </w:tcPr>
          <w:p w:rsidR="005D2DA7" w:rsidRPr="00AF5796" w:rsidRDefault="005D2DA7" w:rsidP="00CE6198">
            <w:pPr>
              <w:pStyle w:val="Tablehead"/>
              <w:rPr>
                <w:lang w:val="en-US" w:eastAsia="de-DE"/>
              </w:rPr>
            </w:pPr>
            <w:r w:rsidRPr="00AF5796">
              <w:rPr>
                <w:rFonts w:eastAsia="SimSun"/>
                <w:bCs/>
                <w:lang w:val="en-US"/>
              </w:rPr>
              <w:t>2008</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2009</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2010</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2011</w:t>
            </w:r>
          </w:p>
        </w:tc>
        <w:tc>
          <w:tcPr>
            <w:tcW w:w="823" w:type="dxa"/>
            <w:vAlign w:val="center"/>
          </w:tcPr>
          <w:p w:rsidR="005D2DA7" w:rsidRPr="00AF5796" w:rsidRDefault="005D2DA7" w:rsidP="00CE6198">
            <w:pPr>
              <w:pStyle w:val="Tablehead"/>
              <w:rPr>
                <w:lang w:val="en-US" w:eastAsia="de-DE"/>
              </w:rPr>
            </w:pPr>
            <w:r w:rsidRPr="00AF5796">
              <w:rPr>
                <w:rFonts w:eastAsia="SimSun"/>
                <w:bCs/>
                <w:lang w:val="en-US"/>
              </w:rPr>
              <w:t>2012</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2013</w:t>
            </w:r>
          </w:p>
        </w:tc>
        <w:tc>
          <w:tcPr>
            <w:tcW w:w="1033" w:type="dxa"/>
          </w:tcPr>
          <w:p w:rsidR="005D2DA7" w:rsidRPr="00AF5796" w:rsidRDefault="005D2DA7" w:rsidP="00CE6198">
            <w:pPr>
              <w:pStyle w:val="Tablehead"/>
              <w:rPr>
                <w:lang w:val="en-US" w:eastAsia="de-DE"/>
              </w:rPr>
            </w:pPr>
            <w:r w:rsidRPr="00AF5796">
              <w:rPr>
                <w:rFonts w:eastAsia="SimSun"/>
                <w:bCs/>
                <w:lang w:val="en-US"/>
              </w:rPr>
              <w:t>2014</w:t>
            </w:r>
            <w:r w:rsidRPr="00AF5796">
              <w:rPr>
                <w:rFonts w:eastAsia="SimSun"/>
                <w:bCs/>
                <w:vertAlign w:val="superscript"/>
                <w:lang w:val="en-US"/>
              </w:rPr>
              <w:t>(</w:t>
            </w:r>
            <w:r w:rsidRPr="00AF5796">
              <w:rPr>
                <w:bCs/>
                <w:vertAlign w:val="superscript"/>
                <w:lang w:val="en-US" w:eastAsia="ja-JP"/>
              </w:rPr>
              <w:t>2</w:t>
            </w:r>
            <w:r w:rsidRPr="00AF5796">
              <w:rPr>
                <w:rFonts w:eastAsia="SimSun"/>
                <w:bCs/>
                <w:vertAlign w:val="superscript"/>
                <w:lang w:val="en-US"/>
              </w:rPr>
              <w:t>)</w:t>
            </w:r>
          </w:p>
        </w:tc>
      </w:tr>
      <w:tr w:rsidR="005D2DA7" w:rsidRPr="00AF5796" w:rsidTr="00F22193">
        <w:trPr>
          <w:jc w:val="center"/>
        </w:trPr>
        <w:tc>
          <w:tcPr>
            <w:tcW w:w="1706" w:type="dxa"/>
            <w:vAlign w:val="center"/>
          </w:tcPr>
          <w:p w:rsidR="005D2DA7" w:rsidRPr="00AF5796" w:rsidRDefault="005D2DA7" w:rsidP="00D513B3">
            <w:pPr>
              <w:pStyle w:val="Tabletext"/>
              <w:rPr>
                <w:color w:val="000000"/>
                <w:lang w:val="en-US" w:eastAsia="de-DE"/>
              </w:rPr>
            </w:pPr>
            <w:r w:rsidRPr="00AF5796">
              <w:rPr>
                <w:color w:val="000000"/>
                <w:lang w:val="en-US" w:eastAsia="de-DE"/>
              </w:rPr>
              <w:t xml:space="preserve">Developed </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18.5</w:t>
            </w:r>
          </w:p>
        </w:tc>
        <w:tc>
          <w:tcPr>
            <w:tcW w:w="823" w:type="dxa"/>
            <w:vAlign w:val="center"/>
          </w:tcPr>
          <w:p w:rsidR="005D2DA7" w:rsidRPr="00AF5796" w:rsidRDefault="005D2DA7" w:rsidP="00D513B3">
            <w:pPr>
              <w:pStyle w:val="Tabletext"/>
              <w:jc w:val="right"/>
              <w:rPr>
                <w:color w:val="000000"/>
                <w:lang w:val="en-US" w:eastAsia="de-DE"/>
              </w:rPr>
            </w:pPr>
            <w:r w:rsidRPr="00AF5796">
              <w:rPr>
                <w:color w:val="000000"/>
                <w:lang w:val="en-US"/>
              </w:rPr>
              <w:t>27.5</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36.6</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44.7</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56.8</w:t>
            </w:r>
          </w:p>
        </w:tc>
        <w:tc>
          <w:tcPr>
            <w:tcW w:w="823" w:type="dxa"/>
            <w:vAlign w:val="center"/>
          </w:tcPr>
          <w:p w:rsidR="005D2DA7" w:rsidRPr="00AF5796" w:rsidRDefault="005D2DA7" w:rsidP="00D513B3">
            <w:pPr>
              <w:pStyle w:val="Tabletext"/>
              <w:jc w:val="right"/>
              <w:rPr>
                <w:color w:val="000000"/>
                <w:lang w:val="en-US" w:eastAsia="de-DE"/>
              </w:rPr>
            </w:pPr>
            <w:r w:rsidRPr="00AF5796">
              <w:rPr>
                <w:color w:val="000000"/>
                <w:lang w:val="en-US"/>
              </w:rPr>
              <w:t>66.4</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75.1</w:t>
            </w:r>
          </w:p>
        </w:tc>
        <w:tc>
          <w:tcPr>
            <w:tcW w:w="1033" w:type="dxa"/>
            <w:vAlign w:val="center"/>
          </w:tcPr>
          <w:p w:rsidR="005D2DA7" w:rsidRPr="00AF5796" w:rsidRDefault="005D2DA7" w:rsidP="00D513B3">
            <w:pPr>
              <w:pStyle w:val="Tabletext"/>
              <w:jc w:val="right"/>
              <w:rPr>
                <w:color w:val="000000"/>
                <w:lang w:val="en-US" w:eastAsia="de-DE"/>
              </w:rPr>
            </w:pPr>
            <w:r w:rsidRPr="00AF5796">
              <w:rPr>
                <w:color w:val="000000"/>
                <w:lang w:val="en-US"/>
              </w:rPr>
              <w:t>83.7</w:t>
            </w:r>
          </w:p>
        </w:tc>
      </w:tr>
      <w:tr w:rsidR="005D2DA7" w:rsidRPr="00AF5796" w:rsidTr="00F22193">
        <w:trPr>
          <w:jc w:val="center"/>
        </w:trPr>
        <w:tc>
          <w:tcPr>
            <w:tcW w:w="1706" w:type="dxa"/>
            <w:vAlign w:val="center"/>
          </w:tcPr>
          <w:p w:rsidR="005D2DA7" w:rsidRPr="00AF5796" w:rsidRDefault="005D2DA7" w:rsidP="00D513B3">
            <w:pPr>
              <w:pStyle w:val="Tabletext"/>
              <w:rPr>
                <w:color w:val="000000"/>
                <w:lang w:val="en-US" w:eastAsia="de-DE"/>
              </w:rPr>
            </w:pPr>
            <w:r w:rsidRPr="00AF5796">
              <w:rPr>
                <w:color w:val="000000"/>
                <w:lang w:val="en-US" w:eastAsia="de-DE"/>
              </w:rPr>
              <w:t xml:space="preserve">Developing </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0.8</w:t>
            </w:r>
          </w:p>
        </w:tc>
        <w:tc>
          <w:tcPr>
            <w:tcW w:w="823"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1.6</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3.0</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4.5</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8.3</w:t>
            </w:r>
          </w:p>
        </w:tc>
        <w:tc>
          <w:tcPr>
            <w:tcW w:w="823"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12.4</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16.8</w:t>
            </w:r>
          </w:p>
        </w:tc>
        <w:tc>
          <w:tcPr>
            <w:tcW w:w="1033"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21.1</w:t>
            </w:r>
          </w:p>
        </w:tc>
      </w:tr>
      <w:tr w:rsidR="005D2DA7" w:rsidRPr="00AF5796" w:rsidTr="00F22193">
        <w:trPr>
          <w:jc w:val="center"/>
        </w:trPr>
        <w:tc>
          <w:tcPr>
            <w:tcW w:w="1706" w:type="dxa"/>
            <w:tcBorders>
              <w:bottom w:val="single" w:sz="4" w:space="0" w:color="auto"/>
            </w:tcBorders>
            <w:vAlign w:val="center"/>
          </w:tcPr>
          <w:p w:rsidR="005D2DA7" w:rsidRPr="00AF5796" w:rsidRDefault="005D2DA7" w:rsidP="00D513B3">
            <w:pPr>
              <w:pStyle w:val="Tabletext"/>
              <w:rPr>
                <w:color w:val="000000"/>
                <w:lang w:val="en-US" w:eastAsia="de-DE"/>
              </w:rPr>
            </w:pPr>
            <w:r w:rsidRPr="00AF5796">
              <w:rPr>
                <w:color w:val="000000"/>
                <w:lang w:val="en-US" w:eastAsia="de-DE"/>
              </w:rPr>
              <w:t xml:space="preserve">World </w:t>
            </w:r>
          </w:p>
        </w:tc>
        <w:tc>
          <w:tcPr>
            <w:tcW w:w="824" w:type="dxa"/>
            <w:tcBorders>
              <w:bottom w:val="single" w:sz="4" w:space="0" w:color="auto"/>
            </w:tcBorders>
            <w:vAlign w:val="center"/>
          </w:tcPr>
          <w:p w:rsidR="005D2DA7" w:rsidRPr="00AF5796" w:rsidRDefault="005D2DA7" w:rsidP="00D513B3">
            <w:pPr>
              <w:pStyle w:val="Tabletext"/>
              <w:jc w:val="right"/>
              <w:rPr>
                <w:color w:val="000000"/>
                <w:lang w:val="en-US" w:eastAsia="de-DE"/>
              </w:rPr>
            </w:pPr>
            <w:r w:rsidRPr="00AF5796">
              <w:rPr>
                <w:color w:val="000000"/>
                <w:lang w:val="en-US"/>
              </w:rPr>
              <w:t>4.0</w:t>
            </w:r>
          </w:p>
        </w:tc>
        <w:tc>
          <w:tcPr>
            <w:tcW w:w="823" w:type="dxa"/>
            <w:tcBorders>
              <w:bottom w:val="single" w:sz="4" w:space="0" w:color="auto"/>
            </w:tcBorders>
            <w:vAlign w:val="center"/>
          </w:tcPr>
          <w:p w:rsidR="005D2DA7" w:rsidRPr="00AF5796" w:rsidRDefault="005D2DA7" w:rsidP="00D513B3">
            <w:pPr>
              <w:pStyle w:val="Tabletext"/>
              <w:jc w:val="right"/>
              <w:rPr>
                <w:color w:val="000000"/>
                <w:lang w:val="en-US" w:eastAsia="de-DE"/>
              </w:rPr>
            </w:pPr>
            <w:r w:rsidRPr="00AF5796">
              <w:rPr>
                <w:color w:val="000000"/>
                <w:lang w:val="en-US"/>
              </w:rPr>
              <w:t>6.3</w:t>
            </w:r>
          </w:p>
        </w:tc>
        <w:tc>
          <w:tcPr>
            <w:tcW w:w="824" w:type="dxa"/>
            <w:tcBorders>
              <w:bottom w:val="single" w:sz="4" w:space="0" w:color="auto"/>
            </w:tcBorders>
            <w:vAlign w:val="center"/>
          </w:tcPr>
          <w:p w:rsidR="005D2DA7" w:rsidRPr="00AF5796" w:rsidRDefault="005D2DA7" w:rsidP="00D513B3">
            <w:pPr>
              <w:pStyle w:val="Tabletext"/>
              <w:jc w:val="right"/>
              <w:rPr>
                <w:color w:val="000000"/>
                <w:lang w:val="en-US" w:eastAsia="de-DE"/>
              </w:rPr>
            </w:pPr>
            <w:r w:rsidRPr="00AF5796">
              <w:rPr>
                <w:color w:val="000000"/>
                <w:lang w:val="en-US"/>
              </w:rPr>
              <w:t>9.0</w:t>
            </w:r>
          </w:p>
        </w:tc>
        <w:tc>
          <w:tcPr>
            <w:tcW w:w="824"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11.5</w:t>
            </w:r>
          </w:p>
        </w:tc>
        <w:tc>
          <w:tcPr>
            <w:tcW w:w="824"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16.7</w:t>
            </w:r>
          </w:p>
        </w:tc>
        <w:tc>
          <w:tcPr>
            <w:tcW w:w="823"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21.7</w:t>
            </w:r>
          </w:p>
        </w:tc>
        <w:tc>
          <w:tcPr>
            <w:tcW w:w="824"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26.7</w:t>
            </w:r>
          </w:p>
        </w:tc>
        <w:tc>
          <w:tcPr>
            <w:tcW w:w="1033"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32.0</w:t>
            </w:r>
          </w:p>
        </w:tc>
      </w:tr>
      <w:tr w:rsidR="00F22193" w:rsidRPr="00AF5796" w:rsidTr="00F22193">
        <w:trPr>
          <w:jc w:val="center"/>
        </w:trPr>
        <w:tc>
          <w:tcPr>
            <w:tcW w:w="8505" w:type="dxa"/>
            <w:gridSpan w:val="9"/>
            <w:tcBorders>
              <w:left w:val="nil"/>
              <w:bottom w:val="nil"/>
              <w:right w:val="nil"/>
            </w:tcBorders>
            <w:vAlign w:val="center"/>
          </w:tcPr>
          <w:p w:rsidR="00F22193" w:rsidRPr="00AF5796" w:rsidRDefault="007B7155" w:rsidP="007B7155">
            <w:pPr>
              <w:pStyle w:val="TableLegendNote"/>
              <w:rPr>
                <w:lang w:eastAsia="ja-JP"/>
              </w:rPr>
            </w:pPr>
            <w:r>
              <w:rPr>
                <w:lang w:eastAsia="ja-JP"/>
              </w:rPr>
              <w:t xml:space="preserve">NOTE </w:t>
            </w:r>
            <w:r w:rsidR="00F22193" w:rsidRPr="00AF5796">
              <w:rPr>
                <w:lang w:eastAsia="ja-JP"/>
              </w:rPr>
              <w:t xml:space="preserve">1 – Key ICT indicators for developed and developing countries and the world </w:t>
            </w:r>
            <w:hyperlink r:id="rId20" w:history="1">
              <w:r w:rsidR="00F22193" w:rsidRPr="00AF5796">
                <w:rPr>
                  <w:rStyle w:val="Hyperlink"/>
                  <w:rFonts w:asciiTheme="majorBidi" w:hAnsiTheme="majorBidi" w:cstheme="majorBidi"/>
                  <w:szCs w:val="22"/>
                  <w:lang w:eastAsia="ja-JP"/>
                </w:rPr>
                <w:t>http://www.itu.int/en/ITU-D/Statistics/Documents/statistics/2014/ITU_Key_2005-2014_ICT_data.xls</w:t>
              </w:r>
            </w:hyperlink>
            <w:r w:rsidR="009B49DC">
              <w:t xml:space="preserve"> </w:t>
            </w:r>
            <w:r w:rsidR="009B49DC" w:rsidRPr="007908BE">
              <w:t>.</w:t>
            </w:r>
          </w:p>
          <w:p w:rsidR="00F22193" w:rsidRPr="00AF5796" w:rsidRDefault="007B7155" w:rsidP="007B7155">
            <w:pPr>
              <w:pStyle w:val="TableLegendNote"/>
              <w:rPr>
                <w:color w:val="000000"/>
              </w:rPr>
            </w:pPr>
            <w:r>
              <w:rPr>
                <w:lang w:eastAsia="ja-JP"/>
              </w:rPr>
              <w:t xml:space="preserve">NOTE </w:t>
            </w:r>
            <w:r w:rsidR="00F22193" w:rsidRPr="00AF5796">
              <w:rPr>
                <w:lang w:eastAsia="ja-JP"/>
              </w:rPr>
              <w:t>2 – Projection</w:t>
            </w:r>
            <w:r w:rsidR="009B49DC">
              <w:rPr>
                <w:lang w:eastAsia="ja-JP"/>
              </w:rPr>
              <w:t>.</w:t>
            </w:r>
          </w:p>
        </w:tc>
      </w:tr>
    </w:tbl>
    <w:p w:rsidR="005D2DA7" w:rsidRPr="00AF5796" w:rsidRDefault="005D2DA7" w:rsidP="00F608A2">
      <w:pPr>
        <w:pStyle w:val="Tablefin"/>
        <w:rPr>
          <w:lang w:val="en-US" w:eastAsia="ja-JP"/>
        </w:rPr>
      </w:pPr>
    </w:p>
    <w:p w:rsidR="005D2DA7" w:rsidRPr="00AF5796" w:rsidRDefault="005D2DA7" w:rsidP="005D2DA7">
      <w:pPr>
        <w:rPr>
          <w:lang w:val="en-US" w:eastAsia="ja-JP"/>
        </w:rPr>
      </w:pPr>
      <w:r w:rsidRPr="00AF5796">
        <w:rPr>
          <w:lang w:val="en-US" w:eastAsia="zh-CN"/>
        </w:rPr>
        <w:t xml:space="preserve">On the other hand, statistical information figures from </w:t>
      </w:r>
      <w:r w:rsidRPr="00AF5796">
        <w:rPr>
          <w:lang w:val="en-US" w:eastAsia="ja-JP"/>
        </w:rPr>
        <w:t xml:space="preserve">the </w:t>
      </w:r>
      <w:r w:rsidRPr="00AF5796">
        <w:rPr>
          <w:lang w:val="en-US" w:eastAsia="zh-CN"/>
        </w:rPr>
        <w:t xml:space="preserve">ITU ICT statistics </w:t>
      </w:r>
      <w:r w:rsidRPr="00AF5796">
        <w:rPr>
          <w:lang w:val="en-US" w:eastAsia="ja-JP"/>
        </w:rPr>
        <w:t>web-page (reproduced in Table 3 below) show a</w:t>
      </w:r>
      <w:r w:rsidRPr="00AF5796">
        <w:rPr>
          <w:lang w:val="en-US" w:eastAsia="zh-CN"/>
        </w:rPr>
        <w:t xml:space="preserve"> declin</w:t>
      </w:r>
      <w:r w:rsidRPr="00AF5796">
        <w:rPr>
          <w:lang w:val="en-US" w:eastAsia="ja-JP"/>
        </w:rPr>
        <w:t>e in the growth rate of</w:t>
      </w:r>
      <w:r w:rsidRPr="00AF5796">
        <w:rPr>
          <w:lang w:val="en-US" w:eastAsia="zh-CN"/>
        </w:rPr>
        <w:t xml:space="preserve"> (global) mobile-cellular subscriptions. From 2005 to 2006 </w:t>
      </w:r>
      <w:r w:rsidRPr="00AF5796">
        <w:rPr>
          <w:lang w:val="en-US" w:eastAsia="ja-JP"/>
        </w:rPr>
        <w:t xml:space="preserve">and from 2013 to 2014, </w:t>
      </w:r>
      <w:r w:rsidRPr="00AF5796">
        <w:rPr>
          <w:lang w:val="en-US" w:eastAsia="zh-CN"/>
        </w:rPr>
        <w:t xml:space="preserve">global </w:t>
      </w:r>
      <w:r w:rsidRPr="00AF5796">
        <w:rPr>
          <w:lang w:val="en-US" w:eastAsia="ja-JP"/>
        </w:rPr>
        <w:t>subscription</w:t>
      </w:r>
      <w:r w:rsidRPr="00AF5796">
        <w:rPr>
          <w:lang w:val="en-US" w:eastAsia="zh-CN"/>
        </w:rPr>
        <w:t xml:space="preserve"> numbers climbed by 24.5%</w:t>
      </w:r>
      <w:r w:rsidRPr="00AF5796">
        <w:rPr>
          <w:lang w:val="en-US" w:eastAsia="ja-JP"/>
        </w:rPr>
        <w:t xml:space="preserve"> and 3.8%, respectively</w:t>
      </w:r>
      <w:r w:rsidRPr="00AF5796">
        <w:rPr>
          <w:lang w:val="en-US" w:eastAsia="zh-CN"/>
        </w:rPr>
        <w:t xml:space="preserve">. </w:t>
      </w:r>
      <w:r w:rsidRPr="00AF5796">
        <w:rPr>
          <w:lang w:val="en-US" w:eastAsia="ja-JP"/>
        </w:rPr>
        <w:t>I</w:t>
      </w:r>
      <w:r w:rsidRPr="00AF5796">
        <w:rPr>
          <w:lang w:val="en-US" w:eastAsia="zh-CN"/>
        </w:rPr>
        <w:t>n developed countries, the growth</w:t>
      </w:r>
      <w:r w:rsidRPr="00AF5796">
        <w:rPr>
          <w:lang w:val="en-US" w:eastAsia="ja-JP"/>
        </w:rPr>
        <w:t xml:space="preserve"> from 2013 to 2014 was 1.7%</w:t>
      </w:r>
      <w:r w:rsidRPr="00AF5796">
        <w:rPr>
          <w:lang w:val="en-US" w:eastAsia="zh-CN"/>
        </w:rPr>
        <w:t>.</w:t>
      </w:r>
    </w:p>
    <w:p w:rsidR="005D2DA7" w:rsidRPr="00AF5796" w:rsidRDefault="00007F6F" w:rsidP="00E928DB">
      <w:pPr>
        <w:pStyle w:val="TableNo"/>
        <w:keepLines/>
        <w:pageBreakBefore/>
        <w:spacing w:before="240"/>
        <w:rPr>
          <w:lang w:val="en-US" w:eastAsia="ja-JP"/>
        </w:rPr>
      </w:pPr>
      <w:r w:rsidRPr="00AF5796">
        <w:rPr>
          <w:lang w:val="en-US" w:eastAsia="ja-JP"/>
        </w:rPr>
        <w:lastRenderedPageBreak/>
        <w:t xml:space="preserve">TABLE </w:t>
      </w:r>
      <w:r w:rsidR="005D2DA7" w:rsidRPr="00AF5796">
        <w:rPr>
          <w:lang w:val="en-US" w:eastAsia="ja-JP"/>
        </w:rPr>
        <w:t>3</w:t>
      </w:r>
    </w:p>
    <w:p w:rsidR="005D2DA7" w:rsidRPr="00AF5796" w:rsidRDefault="005D2DA7" w:rsidP="005D2DA7">
      <w:pPr>
        <w:pStyle w:val="Tabletitle"/>
        <w:rPr>
          <w:lang w:val="en-US" w:eastAsia="ja-JP"/>
        </w:rPr>
      </w:pPr>
      <w:r w:rsidRPr="00AF5796">
        <w:rPr>
          <w:lang w:val="en-US" w:eastAsia="ja-JP"/>
        </w:rPr>
        <w:t xml:space="preserve">Global mobile-cellular subscription from the ITU ICT statistics </w:t>
      </w:r>
      <w:r w:rsidRPr="00AF5796">
        <w:rPr>
          <w:vertAlign w:val="superscript"/>
          <w:lang w:val="en-US" w:eastAsia="ja-JP"/>
        </w:rPr>
        <w:t>(3)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789"/>
        <w:gridCol w:w="705"/>
        <w:gridCol w:w="704"/>
        <w:gridCol w:w="703"/>
        <w:gridCol w:w="704"/>
        <w:gridCol w:w="704"/>
        <w:gridCol w:w="704"/>
        <w:gridCol w:w="703"/>
        <w:gridCol w:w="704"/>
        <w:gridCol w:w="841"/>
      </w:tblGrid>
      <w:tr w:rsidR="005D2DA7" w:rsidRPr="00AF4361" w:rsidTr="00E315B1">
        <w:trPr>
          <w:jc w:val="center"/>
        </w:trPr>
        <w:tc>
          <w:tcPr>
            <w:tcW w:w="8464" w:type="dxa"/>
            <w:gridSpan w:val="11"/>
            <w:vAlign w:val="center"/>
          </w:tcPr>
          <w:p w:rsidR="005D2DA7" w:rsidRPr="00AF5796" w:rsidRDefault="005D2DA7" w:rsidP="00E315B1">
            <w:pPr>
              <w:pStyle w:val="Tablehead"/>
              <w:rPr>
                <w:lang w:val="en-US"/>
              </w:rPr>
            </w:pPr>
            <w:r w:rsidRPr="00AF5796">
              <w:rPr>
                <w:lang w:val="en-US" w:eastAsia="ja-JP"/>
              </w:rPr>
              <w:t>Number of g</w:t>
            </w:r>
            <w:r w:rsidRPr="00AF5796">
              <w:rPr>
                <w:lang w:val="en-US" w:eastAsia="de-DE"/>
              </w:rPr>
              <w:t xml:space="preserve">lobal </w:t>
            </w:r>
            <w:r w:rsidRPr="00AF5796">
              <w:rPr>
                <w:lang w:val="en-US" w:eastAsia="ja-JP"/>
              </w:rPr>
              <w:t>m</w:t>
            </w:r>
            <w:r w:rsidRPr="00AF5796">
              <w:rPr>
                <w:lang w:val="en-US" w:eastAsia="de-DE"/>
              </w:rPr>
              <w:t xml:space="preserve">obile-cellular </w:t>
            </w:r>
            <w:r w:rsidRPr="00AF5796">
              <w:rPr>
                <w:lang w:val="en-US" w:eastAsia="ja-JP"/>
              </w:rPr>
              <w:t xml:space="preserve">telephone </w:t>
            </w:r>
            <w:r w:rsidRPr="00AF5796">
              <w:rPr>
                <w:lang w:val="en-US" w:eastAsia="de-DE"/>
              </w:rPr>
              <w:t>subscriptions (millions)</w:t>
            </w:r>
          </w:p>
        </w:tc>
      </w:tr>
      <w:tr w:rsidR="005D2DA7" w:rsidRPr="00AF5796" w:rsidTr="00E315B1">
        <w:trPr>
          <w:jc w:val="center"/>
        </w:trPr>
        <w:tc>
          <w:tcPr>
            <w:tcW w:w="1150" w:type="dxa"/>
            <w:vAlign w:val="center"/>
          </w:tcPr>
          <w:p w:rsidR="005D2DA7" w:rsidRPr="00AF5796" w:rsidRDefault="005D2DA7" w:rsidP="00007F6F">
            <w:pPr>
              <w:pStyle w:val="Tablehead"/>
              <w:rPr>
                <w:lang w:val="en-US"/>
              </w:rPr>
            </w:pPr>
            <w:r w:rsidRPr="00AF5796">
              <w:rPr>
                <w:lang w:val="en-US"/>
              </w:rPr>
              <w:t>Years</w:t>
            </w:r>
          </w:p>
        </w:tc>
        <w:tc>
          <w:tcPr>
            <w:tcW w:w="801" w:type="dxa"/>
            <w:vAlign w:val="center"/>
          </w:tcPr>
          <w:p w:rsidR="005D2DA7" w:rsidRPr="00AF5796" w:rsidRDefault="005D2DA7" w:rsidP="00007F6F">
            <w:pPr>
              <w:pStyle w:val="Tablehead"/>
              <w:rPr>
                <w:lang w:val="en-US"/>
              </w:rPr>
            </w:pPr>
            <w:r w:rsidRPr="00AF5796">
              <w:rPr>
                <w:lang w:val="en-US"/>
              </w:rPr>
              <w:t>2005</w:t>
            </w:r>
          </w:p>
        </w:tc>
        <w:tc>
          <w:tcPr>
            <w:tcW w:w="709" w:type="dxa"/>
            <w:vAlign w:val="center"/>
          </w:tcPr>
          <w:p w:rsidR="005D2DA7" w:rsidRPr="00AF5796" w:rsidRDefault="005D2DA7" w:rsidP="00007F6F">
            <w:pPr>
              <w:pStyle w:val="Tablehead"/>
              <w:rPr>
                <w:lang w:val="en-US"/>
              </w:rPr>
            </w:pPr>
            <w:r w:rsidRPr="00AF5796">
              <w:rPr>
                <w:lang w:val="en-US"/>
              </w:rPr>
              <w:t>2006</w:t>
            </w:r>
          </w:p>
        </w:tc>
        <w:tc>
          <w:tcPr>
            <w:tcW w:w="709" w:type="dxa"/>
            <w:vAlign w:val="center"/>
          </w:tcPr>
          <w:p w:rsidR="005D2DA7" w:rsidRPr="00AF5796" w:rsidRDefault="005D2DA7" w:rsidP="00007F6F">
            <w:pPr>
              <w:pStyle w:val="Tablehead"/>
              <w:rPr>
                <w:lang w:val="en-US"/>
              </w:rPr>
            </w:pPr>
            <w:r w:rsidRPr="00AF5796">
              <w:rPr>
                <w:lang w:val="en-US"/>
              </w:rPr>
              <w:t>2007</w:t>
            </w:r>
          </w:p>
        </w:tc>
        <w:tc>
          <w:tcPr>
            <w:tcW w:w="708" w:type="dxa"/>
            <w:vAlign w:val="center"/>
          </w:tcPr>
          <w:p w:rsidR="005D2DA7" w:rsidRPr="00AF5796" w:rsidRDefault="005D2DA7" w:rsidP="00007F6F">
            <w:pPr>
              <w:pStyle w:val="Tablehead"/>
              <w:rPr>
                <w:lang w:val="en-US"/>
              </w:rPr>
            </w:pPr>
            <w:r w:rsidRPr="00AF5796">
              <w:rPr>
                <w:lang w:val="en-US"/>
              </w:rPr>
              <w:t>2008</w:t>
            </w:r>
          </w:p>
        </w:tc>
        <w:tc>
          <w:tcPr>
            <w:tcW w:w="709" w:type="dxa"/>
            <w:vAlign w:val="center"/>
          </w:tcPr>
          <w:p w:rsidR="005D2DA7" w:rsidRPr="00AF5796" w:rsidRDefault="005D2DA7" w:rsidP="00007F6F">
            <w:pPr>
              <w:pStyle w:val="Tablehead"/>
              <w:rPr>
                <w:lang w:val="en-US"/>
              </w:rPr>
            </w:pPr>
            <w:r w:rsidRPr="00AF5796">
              <w:rPr>
                <w:lang w:val="en-US"/>
              </w:rPr>
              <w:t>2009</w:t>
            </w:r>
          </w:p>
        </w:tc>
        <w:tc>
          <w:tcPr>
            <w:tcW w:w="709" w:type="dxa"/>
            <w:vAlign w:val="center"/>
          </w:tcPr>
          <w:p w:rsidR="005D2DA7" w:rsidRPr="00AF5796" w:rsidRDefault="005D2DA7" w:rsidP="00007F6F">
            <w:pPr>
              <w:pStyle w:val="Tablehead"/>
              <w:rPr>
                <w:lang w:val="en-US"/>
              </w:rPr>
            </w:pPr>
            <w:r w:rsidRPr="00AF5796">
              <w:rPr>
                <w:lang w:val="en-US"/>
              </w:rPr>
              <w:t>2010</w:t>
            </w:r>
          </w:p>
        </w:tc>
        <w:tc>
          <w:tcPr>
            <w:tcW w:w="709" w:type="dxa"/>
            <w:vAlign w:val="center"/>
          </w:tcPr>
          <w:p w:rsidR="005D2DA7" w:rsidRPr="00AF5796" w:rsidRDefault="005D2DA7" w:rsidP="00007F6F">
            <w:pPr>
              <w:pStyle w:val="Tablehead"/>
              <w:rPr>
                <w:lang w:val="en-US"/>
              </w:rPr>
            </w:pPr>
            <w:r w:rsidRPr="00AF5796">
              <w:rPr>
                <w:lang w:val="en-US"/>
              </w:rPr>
              <w:t>2011</w:t>
            </w:r>
          </w:p>
        </w:tc>
        <w:tc>
          <w:tcPr>
            <w:tcW w:w="708" w:type="dxa"/>
            <w:vAlign w:val="center"/>
          </w:tcPr>
          <w:p w:rsidR="005D2DA7" w:rsidRPr="00AF5796" w:rsidRDefault="005D2DA7" w:rsidP="00007F6F">
            <w:pPr>
              <w:pStyle w:val="Tablehead"/>
              <w:rPr>
                <w:lang w:val="en-US"/>
              </w:rPr>
            </w:pPr>
            <w:r w:rsidRPr="00AF5796">
              <w:rPr>
                <w:lang w:val="en-US"/>
              </w:rPr>
              <w:t>2012</w:t>
            </w:r>
          </w:p>
        </w:tc>
        <w:tc>
          <w:tcPr>
            <w:tcW w:w="709" w:type="dxa"/>
            <w:vAlign w:val="center"/>
          </w:tcPr>
          <w:p w:rsidR="005D2DA7" w:rsidRPr="00AF5796" w:rsidRDefault="005D2DA7" w:rsidP="00007F6F">
            <w:pPr>
              <w:pStyle w:val="Tablehead"/>
              <w:rPr>
                <w:lang w:val="en-US"/>
              </w:rPr>
            </w:pPr>
            <w:r w:rsidRPr="00AF5796">
              <w:rPr>
                <w:lang w:val="en-US"/>
              </w:rPr>
              <w:t>2013</w:t>
            </w:r>
          </w:p>
        </w:tc>
        <w:tc>
          <w:tcPr>
            <w:tcW w:w="843" w:type="dxa"/>
            <w:vAlign w:val="center"/>
          </w:tcPr>
          <w:p w:rsidR="005D2DA7" w:rsidRPr="00AF5796" w:rsidRDefault="005D2DA7" w:rsidP="00007F6F">
            <w:pPr>
              <w:pStyle w:val="Tablehead"/>
              <w:rPr>
                <w:lang w:val="en-US"/>
              </w:rPr>
            </w:pPr>
            <w:r w:rsidRPr="00AF5796">
              <w:rPr>
                <w:lang w:val="en-US"/>
              </w:rPr>
              <w:t>2014</w:t>
            </w:r>
            <w:r w:rsidRPr="00AF5796">
              <w:rPr>
                <w:vertAlign w:val="superscript"/>
                <w:lang w:val="en-US"/>
              </w:rPr>
              <w:t>(</w:t>
            </w:r>
            <w:r w:rsidRPr="00AF5796">
              <w:rPr>
                <w:vertAlign w:val="superscript"/>
                <w:lang w:val="en-US" w:eastAsia="ja-JP"/>
              </w:rPr>
              <w:t>4</w:t>
            </w:r>
            <w:r w:rsidRPr="00AF5796">
              <w:rPr>
                <w:vertAlign w:val="superscript"/>
                <w:lang w:val="en-US"/>
              </w:rPr>
              <w:t>)</w:t>
            </w:r>
          </w:p>
        </w:tc>
      </w:tr>
      <w:tr w:rsidR="005D2DA7" w:rsidRPr="00AF5796" w:rsidTr="00E315B1">
        <w:trPr>
          <w:jc w:val="center"/>
        </w:trPr>
        <w:tc>
          <w:tcPr>
            <w:tcW w:w="1150" w:type="dxa"/>
            <w:vAlign w:val="center"/>
          </w:tcPr>
          <w:p w:rsidR="005D2DA7" w:rsidRPr="00AF5796" w:rsidRDefault="005D2DA7" w:rsidP="00E315B1">
            <w:pPr>
              <w:pStyle w:val="Tabletext"/>
              <w:rPr>
                <w:lang w:val="en-US"/>
              </w:rPr>
            </w:pPr>
            <w:r w:rsidRPr="00AF5796">
              <w:rPr>
                <w:lang w:val="en-US"/>
              </w:rPr>
              <w:t xml:space="preserve">Developed </w:t>
            </w:r>
          </w:p>
        </w:tc>
        <w:tc>
          <w:tcPr>
            <w:tcW w:w="801" w:type="dxa"/>
            <w:vAlign w:val="center"/>
          </w:tcPr>
          <w:p w:rsidR="005D2DA7" w:rsidRPr="00AF5796" w:rsidRDefault="005D2DA7" w:rsidP="00E315B1">
            <w:pPr>
              <w:pStyle w:val="Tabletext"/>
              <w:rPr>
                <w:lang w:val="en-US"/>
              </w:rPr>
            </w:pPr>
            <w:r w:rsidRPr="00AF5796">
              <w:rPr>
                <w:lang w:val="en-US"/>
              </w:rPr>
              <w:t xml:space="preserve"> 992 </w:t>
            </w:r>
          </w:p>
        </w:tc>
        <w:tc>
          <w:tcPr>
            <w:tcW w:w="709" w:type="dxa"/>
            <w:vAlign w:val="center"/>
          </w:tcPr>
          <w:p w:rsidR="005D2DA7" w:rsidRPr="00AF5796" w:rsidRDefault="005D2DA7" w:rsidP="00E315B1">
            <w:pPr>
              <w:pStyle w:val="Tabletext"/>
              <w:rPr>
                <w:lang w:val="en-US"/>
              </w:rPr>
            </w:pPr>
            <w:r w:rsidRPr="00AF5796">
              <w:rPr>
                <w:lang w:val="en-US"/>
              </w:rPr>
              <w:t xml:space="preserve">1 127 </w:t>
            </w:r>
          </w:p>
        </w:tc>
        <w:tc>
          <w:tcPr>
            <w:tcW w:w="709" w:type="dxa"/>
            <w:vAlign w:val="center"/>
          </w:tcPr>
          <w:p w:rsidR="005D2DA7" w:rsidRPr="00AF5796" w:rsidRDefault="005D2DA7" w:rsidP="00E315B1">
            <w:pPr>
              <w:pStyle w:val="Tabletext"/>
              <w:rPr>
                <w:lang w:val="en-US"/>
              </w:rPr>
            </w:pPr>
            <w:r w:rsidRPr="00AF5796">
              <w:rPr>
                <w:lang w:val="en-US"/>
              </w:rPr>
              <w:t xml:space="preserve">1 243 </w:t>
            </w:r>
          </w:p>
        </w:tc>
        <w:tc>
          <w:tcPr>
            <w:tcW w:w="708" w:type="dxa"/>
            <w:vAlign w:val="center"/>
          </w:tcPr>
          <w:p w:rsidR="005D2DA7" w:rsidRPr="00AF5796" w:rsidRDefault="005D2DA7" w:rsidP="00E315B1">
            <w:pPr>
              <w:pStyle w:val="Tabletext"/>
              <w:rPr>
                <w:lang w:val="en-US"/>
              </w:rPr>
            </w:pPr>
            <w:r w:rsidRPr="00AF5796">
              <w:rPr>
                <w:lang w:val="en-US"/>
              </w:rPr>
              <w:t xml:space="preserve">1 325 </w:t>
            </w:r>
          </w:p>
        </w:tc>
        <w:tc>
          <w:tcPr>
            <w:tcW w:w="709" w:type="dxa"/>
            <w:vAlign w:val="center"/>
          </w:tcPr>
          <w:p w:rsidR="005D2DA7" w:rsidRPr="00AF5796" w:rsidRDefault="005D2DA7" w:rsidP="00E315B1">
            <w:pPr>
              <w:pStyle w:val="Tabletext"/>
              <w:rPr>
                <w:lang w:val="en-US"/>
              </w:rPr>
            </w:pPr>
            <w:r w:rsidRPr="00AF5796">
              <w:rPr>
                <w:lang w:val="en-US"/>
              </w:rPr>
              <w:t xml:space="preserve">1 383 </w:t>
            </w:r>
          </w:p>
        </w:tc>
        <w:tc>
          <w:tcPr>
            <w:tcW w:w="709" w:type="dxa"/>
            <w:vAlign w:val="center"/>
          </w:tcPr>
          <w:p w:rsidR="005D2DA7" w:rsidRPr="00AF5796" w:rsidRDefault="005D2DA7" w:rsidP="00E315B1">
            <w:pPr>
              <w:pStyle w:val="Tabletext"/>
              <w:rPr>
                <w:lang w:val="en-US"/>
              </w:rPr>
            </w:pPr>
            <w:r w:rsidRPr="00AF5796">
              <w:rPr>
                <w:lang w:val="en-US"/>
              </w:rPr>
              <w:t xml:space="preserve">1 404 </w:t>
            </w:r>
          </w:p>
        </w:tc>
        <w:tc>
          <w:tcPr>
            <w:tcW w:w="709" w:type="dxa"/>
            <w:vAlign w:val="center"/>
          </w:tcPr>
          <w:p w:rsidR="005D2DA7" w:rsidRPr="00AF5796" w:rsidRDefault="005D2DA7" w:rsidP="00E315B1">
            <w:pPr>
              <w:pStyle w:val="Tabletext"/>
              <w:rPr>
                <w:lang w:val="en-US"/>
              </w:rPr>
            </w:pPr>
            <w:r w:rsidRPr="00AF5796">
              <w:rPr>
                <w:lang w:val="en-US"/>
              </w:rPr>
              <w:t xml:space="preserve">1 411 </w:t>
            </w:r>
          </w:p>
        </w:tc>
        <w:tc>
          <w:tcPr>
            <w:tcW w:w="708" w:type="dxa"/>
            <w:vAlign w:val="center"/>
          </w:tcPr>
          <w:p w:rsidR="005D2DA7" w:rsidRPr="00AF5796" w:rsidRDefault="005D2DA7" w:rsidP="00E315B1">
            <w:pPr>
              <w:pStyle w:val="Tabletext"/>
              <w:rPr>
                <w:lang w:val="en-US"/>
              </w:rPr>
            </w:pPr>
            <w:r w:rsidRPr="00AF5796">
              <w:rPr>
                <w:lang w:val="en-US"/>
              </w:rPr>
              <w:t xml:space="preserve">1 447 </w:t>
            </w:r>
          </w:p>
        </w:tc>
        <w:tc>
          <w:tcPr>
            <w:tcW w:w="709" w:type="dxa"/>
            <w:vAlign w:val="center"/>
          </w:tcPr>
          <w:p w:rsidR="005D2DA7" w:rsidRPr="00AF5796" w:rsidRDefault="005D2DA7" w:rsidP="00E315B1">
            <w:pPr>
              <w:pStyle w:val="Tabletext"/>
              <w:rPr>
                <w:lang w:val="en-US"/>
              </w:rPr>
            </w:pPr>
            <w:r w:rsidRPr="00AF5796">
              <w:rPr>
                <w:lang w:val="en-US"/>
              </w:rPr>
              <w:t xml:space="preserve">1 490 </w:t>
            </w:r>
          </w:p>
        </w:tc>
        <w:tc>
          <w:tcPr>
            <w:tcW w:w="843" w:type="dxa"/>
            <w:vAlign w:val="center"/>
          </w:tcPr>
          <w:p w:rsidR="005D2DA7" w:rsidRPr="00AF5796" w:rsidRDefault="005D2DA7" w:rsidP="00E315B1">
            <w:pPr>
              <w:pStyle w:val="Tabletext"/>
              <w:rPr>
                <w:lang w:val="en-US"/>
              </w:rPr>
            </w:pPr>
            <w:r w:rsidRPr="00AF5796">
              <w:rPr>
                <w:lang w:val="en-US"/>
              </w:rPr>
              <w:t xml:space="preserve"> 1 515 </w:t>
            </w:r>
          </w:p>
        </w:tc>
      </w:tr>
      <w:tr w:rsidR="005D2DA7" w:rsidRPr="00AF5796" w:rsidTr="00E315B1">
        <w:trPr>
          <w:jc w:val="center"/>
        </w:trPr>
        <w:tc>
          <w:tcPr>
            <w:tcW w:w="1150" w:type="dxa"/>
            <w:vAlign w:val="center"/>
          </w:tcPr>
          <w:p w:rsidR="005D2DA7" w:rsidRPr="00AF5796" w:rsidRDefault="005D2DA7" w:rsidP="00E315B1">
            <w:pPr>
              <w:pStyle w:val="Tabletext"/>
              <w:rPr>
                <w:lang w:val="en-US"/>
              </w:rPr>
            </w:pPr>
            <w:r w:rsidRPr="00AF5796">
              <w:rPr>
                <w:lang w:val="en-US"/>
              </w:rPr>
              <w:t xml:space="preserve">Developing </w:t>
            </w:r>
          </w:p>
        </w:tc>
        <w:tc>
          <w:tcPr>
            <w:tcW w:w="801" w:type="dxa"/>
            <w:vAlign w:val="center"/>
          </w:tcPr>
          <w:p w:rsidR="005D2DA7" w:rsidRPr="00AF5796" w:rsidRDefault="005D2DA7" w:rsidP="00E315B1">
            <w:pPr>
              <w:pStyle w:val="Tabletext"/>
              <w:rPr>
                <w:lang w:val="en-US"/>
              </w:rPr>
            </w:pPr>
            <w:r w:rsidRPr="00AF5796">
              <w:rPr>
                <w:lang w:val="en-US"/>
              </w:rPr>
              <w:t xml:space="preserve">1 213 </w:t>
            </w:r>
          </w:p>
        </w:tc>
        <w:tc>
          <w:tcPr>
            <w:tcW w:w="709" w:type="dxa"/>
            <w:vAlign w:val="center"/>
          </w:tcPr>
          <w:p w:rsidR="005D2DA7" w:rsidRPr="00AF5796" w:rsidRDefault="005D2DA7" w:rsidP="00E315B1">
            <w:pPr>
              <w:pStyle w:val="Tabletext"/>
              <w:rPr>
                <w:lang w:val="en-US"/>
              </w:rPr>
            </w:pPr>
            <w:r w:rsidRPr="00AF5796">
              <w:rPr>
                <w:lang w:val="en-US"/>
              </w:rPr>
              <w:t xml:space="preserve">1 618 </w:t>
            </w:r>
          </w:p>
        </w:tc>
        <w:tc>
          <w:tcPr>
            <w:tcW w:w="709" w:type="dxa"/>
            <w:vAlign w:val="center"/>
          </w:tcPr>
          <w:p w:rsidR="005D2DA7" w:rsidRPr="00AF5796" w:rsidRDefault="005D2DA7" w:rsidP="00E315B1">
            <w:pPr>
              <w:pStyle w:val="Tabletext"/>
              <w:rPr>
                <w:lang w:val="en-US"/>
              </w:rPr>
            </w:pPr>
            <w:r w:rsidRPr="00AF5796">
              <w:rPr>
                <w:lang w:val="en-US"/>
              </w:rPr>
              <w:t xml:space="preserve">2 125 </w:t>
            </w:r>
          </w:p>
        </w:tc>
        <w:tc>
          <w:tcPr>
            <w:tcW w:w="708" w:type="dxa"/>
            <w:vAlign w:val="center"/>
          </w:tcPr>
          <w:p w:rsidR="005D2DA7" w:rsidRPr="00AF5796" w:rsidRDefault="005D2DA7" w:rsidP="00E315B1">
            <w:pPr>
              <w:pStyle w:val="Tabletext"/>
              <w:rPr>
                <w:lang w:val="en-US"/>
              </w:rPr>
            </w:pPr>
            <w:r w:rsidRPr="00AF5796">
              <w:rPr>
                <w:lang w:val="en-US"/>
              </w:rPr>
              <w:t xml:space="preserve">2 705 </w:t>
            </w:r>
          </w:p>
        </w:tc>
        <w:tc>
          <w:tcPr>
            <w:tcW w:w="709" w:type="dxa"/>
            <w:vAlign w:val="center"/>
          </w:tcPr>
          <w:p w:rsidR="005D2DA7" w:rsidRPr="00AF5796" w:rsidRDefault="005D2DA7" w:rsidP="00E315B1">
            <w:pPr>
              <w:pStyle w:val="Tabletext"/>
              <w:rPr>
                <w:lang w:val="en-US"/>
              </w:rPr>
            </w:pPr>
            <w:r w:rsidRPr="00AF5796">
              <w:rPr>
                <w:lang w:val="en-US"/>
              </w:rPr>
              <w:t xml:space="preserve">3 257 </w:t>
            </w:r>
          </w:p>
        </w:tc>
        <w:tc>
          <w:tcPr>
            <w:tcW w:w="709" w:type="dxa"/>
            <w:vAlign w:val="center"/>
          </w:tcPr>
          <w:p w:rsidR="005D2DA7" w:rsidRPr="00AF5796" w:rsidRDefault="005D2DA7" w:rsidP="00E315B1">
            <w:pPr>
              <w:pStyle w:val="Tabletext"/>
              <w:rPr>
                <w:lang w:val="en-US"/>
              </w:rPr>
            </w:pPr>
            <w:r w:rsidRPr="00AF5796">
              <w:rPr>
                <w:lang w:val="en-US"/>
              </w:rPr>
              <w:t xml:space="preserve">3 887 </w:t>
            </w:r>
          </w:p>
        </w:tc>
        <w:tc>
          <w:tcPr>
            <w:tcW w:w="709" w:type="dxa"/>
            <w:vAlign w:val="center"/>
          </w:tcPr>
          <w:p w:rsidR="005D2DA7" w:rsidRPr="00AF5796" w:rsidRDefault="005D2DA7" w:rsidP="00E315B1">
            <w:pPr>
              <w:pStyle w:val="Tabletext"/>
              <w:rPr>
                <w:lang w:val="en-US"/>
              </w:rPr>
            </w:pPr>
            <w:r w:rsidRPr="00AF5796">
              <w:rPr>
                <w:lang w:val="en-US"/>
              </w:rPr>
              <w:t xml:space="preserve">4 453 </w:t>
            </w:r>
          </w:p>
        </w:tc>
        <w:tc>
          <w:tcPr>
            <w:tcW w:w="708" w:type="dxa"/>
            <w:vAlign w:val="center"/>
          </w:tcPr>
          <w:p w:rsidR="005D2DA7" w:rsidRPr="00AF5796" w:rsidRDefault="005D2DA7" w:rsidP="00E315B1">
            <w:pPr>
              <w:pStyle w:val="Tabletext"/>
              <w:rPr>
                <w:lang w:val="en-US"/>
              </w:rPr>
            </w:pPr>
            <w:r w:rsidRPr="00AF5796">
              <w:rPr>
                <w:lang w:val="en-US"/>
              </w:rPr>
              <w:t xml:space="preserve">4 785 </w:t>
            </w:r>
          </w:p>
        </w:tc>
        <w:tc>
          <w:tcPr>
            <w:tcW w:w="709" w:type="dxa"/>
            <w:vAlign w:val="center"/>
          </w:tcPr>
          <w:p w:rsidR="005D2DA7" w:rsidRPr="00AF5796" w:rsidRDefault="005D2DA7" w:rsidP="00E315B1">
            <w:pPr>
              <w:pStyle w:val="Tabletext"/>
              <w:rPr>
                <w:lang w:val="en-US"/>
              </w:rPr>
            </w:pPr>
            <w:r w:rsidRPr="00AF5796">
              <w:rPr>
                <w:lang w:val="en-US"/>
              </w:rPr>
              <w:t xml:space="preserve">5 171 </w:t>
            </w:r>
          </w:p>
        </w:tc>
        <w:tc>
          <w:tcPr>
            <w:tcW w:w="843" w:type="dxa"/>
            <w:vAlign w:val="center"/>
          </w:tcPr>
          <w:p w:rsidR="005D2DA7" w:rsidRPr="00AF5796" w:rsidRDefault="005D2DA7" w:rsidP="00E315B1">
            <w:pPr>
              <w:pStyle w:val="Tabletext"/>
              <w:rPr>
                <w:lang w:val="en-US"/>
              </w:rPr>
            </w:pPr>
            <w:r w:rsidRPr="00AF5796">
              <w:rPr>
                <w:lang w:val="en-US"/>
              </w:rPr>
              <w:t xml:space="preserve"> 5 400 </w:t>
            </w:r>
          </w:p>
        </w:tc>
      </w:tr>
      <w:tr w:rsidR="005D2DA7" w:rsidRPr="00AF5796" w:rsidTr="00E315B1">
        <w:trPr>
          <w:jc w:val="center"/>
        </w:trPr>
        <w:tc>
          <w:tcPr>
            <w:tcW w:w="1150" w:type="dxa"/>
            <w:vAlign w:val="center"/>
          </w:tcPr>
          <w:p w:rsidR="005D2DA7" w:rsidRPr="00AF5796" w:rsidRDefault="005D2DA7" w:rsidP="00E315B1">
            <w:pPr>
              <w:pStyle w:val="Tabletext"/>
              <w:rPr>
                <w:lang w:val="en-US"/>
              </w:rPr>
            </w:pPr>
            <w:r w:rsidRPr="00AF5796">
              <w:rPr>
                <w:lang w:val="en-US"/>
              </w:rPr>
              <w:t xml:space="preserve">World </w:t>
            </w:r>
          </w:p>
        </w:tc>
        <w:tc>
          <w:tcPr>
            <w:tcW w:w="801" w:type="dxa"/>
            <w:vAlign w:val="center"/>
          </w:tcPr>
          <w:p w:rsidR="005D2DA7" w:rsidRPr="00AF5796" w:rsidRDefault="005D2DA7" w:rsidP="00E315B1">
            <w:pPr>
              <w:pStyle w:val="Tabletext"/>
              <w:rPr>
                <w:lang w:val="en-US"/>
              </w:rPr>
            </w:pPr>
            <w:r w:rsidRPr="00AF5796">
              <w:rPr>
                <w:lang w:val="en-US"/>
              </w:rPr>
              <w:t xml:space="preserve">2 205 </w:t>
            </w:r>
          </w:p>
        </w:tc>
        <w:tc>
          <w:tcPr>
            <w:tcW w:w="709" w:type="dxa"/>
            <w:vAlign w:val="center"/>
          </w:tcPr>
          <w:p w:rsidR="005D2DA7" w:rsidRPr="00AF5796" w:rsidRDefault="005D2DA7" w:rsidP="00E315B1">
            <w:pPr>
              <w:pStyle w:val="Tabletext"/>
              <w:rPr>
                <w:lang w:val="en-US"/>
              </w:rPr>
            </w:pPr>
            <w:r w:rsidRPr="00AF5796">
              <w:rPr>
                <w:lang w:val="en-US"/>
              </w:rPr>
              <w:t xml:space="preserve">2 745 </w:t>
            </w:r>
          </w:p>
        </w:tc>
        <w:tc>
          <w:tcPr>
            <w:tcW w:w="709" w:type="dxa"/>
            <w:vAlign w:val="center"/>
          </w:tcPr>
          <w:p w:rsidR="005D2DA7" w:rsidRPr="00AF5796" w:rsidRDefault="005D2DA7" w:rsidP="00E315B1">
            <w:pPr>
              <w:pStyle w:val="Tabletext"/>
              <w:rPr>
                <w:lang w:val="en-US"/>
              </w:rPr>
            </w:pPr>
            <w:r w:rsidRPr="00AF5796">
              <w:rPr>
                <w:lang w:val="en-US"/>
              </w:rPr>
              <w:t xml:space="preserve">3 368 </w:t>
            </w:r>
          </w:p>
        </w:tc>
        <w:tc>
          <w:tcPr>
            <w:tcW w:w="708" w:type="dxa"/>
            <w:vAlign w:val="center"/>
          </w:tcPr>
          <w:p w:rsidR="005D2DA7" w:rsidRPr="00AF5796" w:rsidRDefault="005D2DA7" w:rsidP="00E315B1">
            <w:pPr>
              <w:pStyle w:val="Tabletext"/>
              <w:rPr>
                <w:lang w:val="en-US"/>
              </w:rPr>
            </w:pPr>
            <w:r w:rsidRPr="00AF5796">
              <w:rPr>
                <w:lang w:val="en-US"/>
              </w:rPr>
              <w:t xml:space="preserve">4 030 </w:t>
            </w:r>
          </w:p>
        </w:tc>
        <w:tc>
          <w:tcPr>
            <w:tcW w:w="709" w:type="dxa"/>
            <w:vAlign w:val="center"/>
          </w:tcPr>
          <w:p w:rsidR="005D2DA7" w:rsidRPr="00AF5796" w:rsidRDefault="005D2DA7" w:rsidP="00E315B1">
            <w:pPr>
              <w:pStyle w:val="Tabletext"/>
              <w:rPr>
                <w:lang w:val="en-US"/>
              </w:rPr>
            </w:pPr>
            <w:r w:rsidRPr="00AF5796">
              <w:rPr>
                <w:lang w:val="en-US"/>
              </w:rPr>
              <w:t xml:space="preserve">4 640 </w:t>
            </w:r>
          </w:p>
        </w:tc>
        <w:tc>
          <w:tcPr>
            <w:tcW w:w="709" w:type="dxa"/>
            <w:vAlign w:val="center"/>
          </w:tcPr>
          <w:p w:rsidR="005D2DA7" w:rsidRPr="00AF5796" w:rsidRDefault="005D2DA7" w:rsidP="00E315B1">
            <w:pPr>
              <w:pStyle w:val="Tabletext"/>
              <w:rPr>
                <w:lang w:val="en-US"/>
              </w:rPr>
            </w:pPr>
            <w:r w:rsidRPr="00AF5796">
              <w:rPr>
                <w:lang w:val="en-US"/>
              </w:rPr>
              <w:t xml:space="preserve">5 290 </w:t>
            </w:r>
          </w:p>
        </w:tc>
        <w:tc>
          <w:tcPr>
            <w:tcW w:w="709" w:type="dxa"/>
            <w:vAlign w:val="center"/>
          </w:tcPr>
          <w:p w:rsidR="005D2DA7" w:rsidRPr="00AF5796" w:rsidRDefault="005D2DA7" w:rsidP="00E315B1">
            <w:pPr>
              <w:pStyle w:val="Tabletext"/>
              <w:rPr>
                <w:lang w:val="en-US"/>
              </w:rPr>
            </w:pPr>
            <w:r w:rsidRPr="00AF5796">
              <w:rPr>
                <w:lang w:val="en-US"/>
              </w:rPr>
              <w:t xml:space="preserve">5 863 </w:t>
            </w:r>
          </w:p>
        </w:tc>
        <w:tc>
          <w:tcPr>
            <w:tcW w:w="708" w:type="dxa"/>
            <w:vAlign w:val="center"/>
          </w:tcPr>
          <w:p w:rsidR="005D2DA7" w:rsidRPr="00AF5796" w:rsidRDefault="005D2DA7" w:rsidP="00E315B1">
            <w:pPr>
              <w:pStyle w:val="Tabletext"/>
              <w:rPr>
                <w:lang w:val="en-US"/>
              </w:rPr>
            </w:pPr>
            <w:r w:rsidRPr="00AF5796">
              <w:rPr>
                <w:lang w:val="en-US"/>
              </w:rPr>
              <w:t xml:space="preserve">6 232 </w:t>
            </w:r>
          </w:p>
        </w:tc>
        <w:tc>
          <w:tcPr>
            <w:tcW w:w="709" w:type="dxa"/>
            <w:vAlign w:val="center"/>
          </w:tcPr>
          <w:p w:rsidR="005D2DA7" w:rsidRPr="00AF5796" w:rsidRDefault="005D2DA7" w:rsidP="00E315B1">
            <w:pPr>
              <w:pStyle w:val="Tabletext"/>
              <w:rPr>
                <w:lang w:val="en-US"/>
              </w:rPr>
            </w:pPr>
            <w:r w:rsidRPr="00AF5796">
              <w:rPr>
                <w:lang w:val="en-US"/>
              </w:rPr>
              <w:t xml:space="preserve">6 662 </w:t>
            </w:r>
          </w:p>
        </w:tc>
        <w:tc>
          <w:tcPr>
            <w:tcW w:w="843" w:type="dxa"/>
            <w:vAlign w:val="center"/>
          </w:tcPr>
          <w:p w:rsidR="005D2DA7" w:rsidRPr="00AF5796" w:rsidRDefault="005D2DA7" w:rsidP="00E315B1">
            <w:pPr>
              <w:pStyle w:val="Tabletext"/>
              <w:rPr>
                <w:lang w:val="en-US"/>
              </w:rPr>
            </w:pPr>
            <w:r w:rsidRPr="00AF5796">
              <w:rPr>
                <w:lang w:val="en-US"/>
              </w:rPr>
              <w:t xml:space="preserve"> 6 915 </w:t>
            </w:r>
          </w:p>
        </w:tc>
      </w:tr>
    </w:tbl>
    <w:p w:rsidR="005D2DA7" w:rsidRPr="00AF5796" w:rsidRDefault="005D2DA7" w:rsidP="005D2DA7">
      <w:pPr>
        <w:rPr>
          <w:b/>
          <w:sz w:val="18"/>
          <w:szCs w:val="18"/>
          <w:lang w:val="en-US" w:eastAsia="ja-JP"/>
        </w:rPr>
      </w:pPr>
    </w:p>
    <w:tbl>
      <w:tblPr>
        <w:tblW w:w="8505" w:type="dxa"/>
        <w:jc w:val="center"/>
        <w:tblLook w:val="04A0" w:firstRow="1" w:lastRow="0" w:firstColumn="1" w:lastColumn="0" w:noHBand="0" w:noVBand="1"/>
      </w:tblPr>
      <w:tblGrid>
        <w:gridCol w:w="1245"/>
        <w:gridCol w:w="754"/>
        <w:gridCol w:w="693"/>
        <w:gridCol w:w="713"/>
        <w:gridCol w:w="713"/>
        <w:gridCol w:w="713"/>
        <w:gridCol w:w="713"/>
        <w:gridCol w:w="713"/>
        <w:gridCol w:w="713"/>
        <w:gridCol w:w="713"/>
        <w:gridCol w:w="822"/>
      </w:tblGrid>
      <w:tr w:rsidR="005D2DA7" w:rsidRPr="00AF5796" w:rsidTr="00E315B1">
        <w:trPr>
          <w:jc w:val="center"/>
        </w:trPr>
        <w:tc>
          <w:tcPr>
            <w:tcW w:w="8505" w:type="dxa"/>
            <w:gridSpan w:val="11"/>
            <w:tcBorders>
              <w:top w:val="single" w:sz="4" w:space="0" w:color="auto"/>
              <w:left w:val="single" w:sz="4" w:space="0" w:color="auto"/>
              <w:bottom w:val="single" w:sz="4" w:space="0" w:color="auto"/>
              <w:right w:val="single" w:sz="4" w:space="0" w:color="auto"/>
            </w:tcBorders>
            <w:vAlign w:val="center"/>
          </w:tcPr>
          <w:p w:rsidR="005D2DA7" w:rsidRPr="00AF5796" w:rsidRDefault="005D2DA7" w:rsidP="009B49DC">
            <w:pPr>
              <w:pStyle w:val="Tablehead"/>
              <w:keepNext w:val="0"/>
              <w:rPr>
                <w:lang w:val="en-US"/>
              </w:rPr>
            </w:pPr>
            <w:r w:rsidRPr="00AF5796">
              <w:rPr>
                <w:lang w:val="en-US" w:eastAsia="ja-JP"/>
              </w:rPr>
              <w:t>Global m</w:t>
            </w:r>
            <w:r w:rsidRPr="00AF5796">
              <w:rPr>
                <w:lang w:val="en-US" w:eastAsia="de-DE"/>
              </w:rPr>
              <w:t>obile-cellular</w:t>
            </w:r>
            <w:r w:rsidRPr="00AF5796">
              <w:rPr>
                <w:lang w:val="en-US" w:eastAsia="ja-JP"/>
              </w:rPr>
              <w:t xml:space="preserve"> telephone </w:t>
            </w:r>
            <w:r w:rsidRPr="00AF5796">
              <w:rPr>
                <w:lang w:val="en-US" w:eastAsia="de-DE"/>
              </w:rPr>
              <w:t xml:space="preserve">subscriptions – Penetration </w:t>
            </w:r>
            <w:r w:rsidR="009B49DC">
              <w:rPr>
                <w:lang w:val="en-US" w:eastAsia="de-DE"/>
              </w:rPr>
              <w:t>r</w:t>
            </w:r>
            <w:r w:rsidRPr="00AF5796">
              <w:rPr>
                <w:lang w:val="en-US" w:eastAsia="de-DE"/>
              </w:rPr>
              <w:t>ate (</w:t>
            </w:r>
            <w:r w:rsidRPr="00AF5796">
              <w:rPr>
                <w:lang w:val="en-US" w:eastAsia="ja-JP"/>
              </w:rPr>
              <w:t>%</w:t>
            </w:r>
            <w:r w:rsidRPr="00AF5796">
              <w:rPr>
                <w:lang w:val="en-US" w:eastAsia="de-DE"/>
              </w:rPr>
              <w:t>)</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color w:val="000000"/>
                <w:lang w:val="en-US"/>
              </w:rPr>
              <w:t>Years</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2005</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2006</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2007</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2008</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2009</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2012</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2013</w:t>
            </w:r>
          </w:p>
        </w:tc>
        <w:tc>
          <w:tcPr>
            <w:tcW w:w="822"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2014</w:t>
            </w:r>
            <w:r w:rsidRPr="00AF5796">
              <w:rPr>
                <w:rFonts w:asciiTheme="majorBidi" w:eastAsia="SimSun" w:hAnsiTheme="majorBidi" w:cstheme="majorBidi"/>
                <w:bCs/>
                <w:color w:val="000000"/>
                <w:vertAlign w:val="superscript"/>
                <w:lang w:val="en-US"/>
              </w:rPr>
              <w:t>(</w:t>
            </w:r>
            <w:r w:rsidRPr="00AF5796">
              <w:rPr>
                <w:rFonts w:asciiTheme="majorBidi" w:hAnsiTheme="majorBidi" w:cstheme="majorBidi"/>
                <w:bCs/>
                <w:color w:val="000000"/>
                <w:vertAlign w:val="superscript"/>
                <w:lang w:val="en-US" w:eastAsia="ja-JP"/>
              </w:rPr>
              <w:t>4</w:t>
            </w:r>
            <w:r w:rsidRPr="00AF5796">
              <w:rPr>
                <w:rFonts w:asciiTheme="majorBidi" w:eastAsia="SimSun" w:hAnsiTheme="majorBidi" w:cstheme="majorBidi"/>
                <w:bCs/>
                <w:color w:val="000000"/>
                <w:vertAlign w:val="superscript"/>
                <w:lang w:val="en-US"/>
              </w:rPr>
              <w:t>)</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 xml:space="preserve">Developed </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82</w:t>
            </w:r>
            <w:r w:rsidRPr="00AF5796">
              <w:rPr>
                <w:lang w:val="en-US" w:eastAsia="ja-JP"/>
              </w:rPr>
              <w:t>.</w:t>
            </w:r>
            <w:r w:rsidRPr="00AF5796">
              <w:rPr>
                <w:lang w:val="en-US" w:eastAsia="de-DE"/>
              </w:rPr>
              <w:t>1</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92</w:t>
            </w:r>
            <w:r w:rsidRPr="00AF5796">
              <w:rPr>
                <w:lang w:val="en-US" w:eastAsia="ja-JP"/>
              </w:rPr>
              <w:t>.</w:t>
            </w:r>
            <w:r w:rsidRPr="00AF5796">
              <w:rPr>
                <w:lang w:val="en-US" w:eastAsia="de-DE"/>
              </w:rPr>
              <w:t>9</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102</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107</w:t>
            </w:r>
            <w:r w:rsidRPr="00AF5796">
              <w:rPr>
                <w:lang w:val="en-US" w:eastAsia="ja-JP"/>
              </w:rPr>
              <w:t>.</w:t>
            </w:r>
            <w:r w:rsidRPr="00AF5796">
              <w:rPr>
                <w:lang w:val="en-US" w:eastAsia="de-DE"/>
              </w:rPr>
              <w:t>8</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112</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113</w:t>
            </w:r>
            <w:r w:rsidRPr="00AF5796">
              <w:rPr>
                <w:lang w:val="en-US" w:eastAsia="ja-JP"/>
              </w:rPr>
              <w:t>.</w:t>
            </w:r>
            <w:r w:rsidRPr="00AF5796">
              <w:rPr>
                <w:lang w:val="en-US" w:eastAsia="de-DE"/>
              </w:rPr>
              <w:t>3</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113</w:t>
            </w:r>
            <w:r w:rsidRPr="00AF5796">
              <w:rPr>
                <w:lang w:val="en-US" w:eastAsia="ja-JP"/>
              </w:rPr>
              <w:t>.</w:t>
            </w:r>
            <w:r w:rsidRPr="00AF5796">
              <w:rPr>
                <w:lang w:val="en-US" w:eastAsia="de-DE"/>
              </w:rPr>
              <w:t>5</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116</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119</w:t>
            </w:r>
            <w:r w:rsidRPr="00AF5796">
              <w:rPr>
                <w:lang w:val="en-US" w:eastAsia="ja-JP"/>
              </w:rPr>
              <w:t>.</w:t>
            </w:r>
            <w:r w:rsidRPr="00AF5796">
              <w:rPr>
                <w:lang w:val="en-US" w:eastAsia="de-DE"/>
              </w:rPr>
              <w:t>2</w:t>
            </w:r>
          </w:p>
        </w:tc>
        <w:tc>
          <w:tcPr>
            <w:tcW w:w="822"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120</w:t>
            </w:r>
            <w:r w:rsidRPr="00AF5796">
              <w:rPr>
                <w:lang w:val="en-US" w:eastAsia="ja-JP"/>
              </w:rPr>
              <w:t>.</w:t>
            </w:r>
            <w:r w:rsidRPr="00AF5796">
              <w:rPr>
                <w:lang w:val="en-US" w:eastAsia="de-DE"/>
              </w:rPr>
              <w:t>8</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 xml:space="preserve">Developing </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22</w:t>
            </w:r>
            <w:r w:rsidRPr="00AF5796">
              <w:rPr>
                <w:lang w:val="en-US" w:eastAsia="ja-JP"/>
              </w:rPr>
              <w:t>.</w:t>
            </w:r>
            <w:r w:rsidRPr="00AF5796">
              <w:rPr>
                <w:lang w:val="en-US" w:eastAsia="de-DE"/>
              </w:rPr>
              <w:t>9</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30</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39</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49</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58</w:t>
            </w:r>
            <w:r w:rsidRPr="00AF5796">
              <w:rPr>
                <w:lang w:val="en-US" w:eastAsia="ja-JP"/>
              </w:rPr>
              <w:t>.</w:t>
            </w:r>
            <w:r w:rsidRPr="00AF5796">
              <w:rPr>
                <w:lang w:val="en-US" w:eastAsia="de-DE"/>
              </w:rPr>
              <w:t>2</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68</w:t>
            </w:r>
            <w:r w:rsidRPr="00AF5796">
              <w:rPr>
                <w:lang w:val="en-US" w:eastAsia="ja-JP"/>
              </w:rPr>
              <w:t>.</w:t>
            </w:r>
            <w:r w:rsidRPr="00AF5796">
              <w:rPr>
                <w:lang w:val="en-US" w:eastAsia="de-DE"/>
              </w:rPr>
              <w:t>5</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77</w:t>
            </w:r>
            <w:r w:rsidRPr="00AF5796">
              <w:rPr>
                <w:lang w:val="en-US" w:eastAsia="ja-JP"/>
              </w:rPr>
              <w:t>.</w:t>
            </w:r>
            <w:r w:rsidRPr="00AF5796">
              <w:rPr>
                <w:lang w:val="en-US" w:eastAsia="de-DE"/>
              </w:rPr>
              <w:t>4</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82</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87</w:t>
            </w:r>
            <w:r w:rsidRPr="00AF5796">
              <w:rPr>
                <w:lang w:val="en-US" w:eastAsia="ja-JP"/>
              </w:rPr>
              <w:t>.</w:t>
            </w:r>
            <w:r w:rsidRPr="00AF5796">
              <w:rPr>
                <w:lang w:val="en-US" w:eastAsia="de-DE"/>
              </w:rPr>
              <w:t>6</w:t>
            </w:r>
          </w:p>
        </w:tc>
        <w:tc>
          <w:tcPr>
            <w:tcW w:w="822"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90</w:t>
            </w:r>
            <w:r w:rsidRPr="00AF5796">
              <w:rPr>
                <w:lang w:val="en-US" w:eastAsia="ja-JP"/>
              </w:rPr>
              <w:t>.</w:t>
            </w:r>
            <w:r w:rsidRPr="00AF5796">
              <w:rPr>
                <w:lang w:val="en-US" w:eastAsia="de-DE"/>
              </w:rPr>
              <w:t>2</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 xml:space="preserve">World </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33</w:t>
            </w:r>
            <w:r w:rsidRPr="00AF5796">
              <w:rPr>
                <w:lang w:val="en-US" w:eastAsia="ja-JP"/>
              </w:rPr>
              <w:t>.</w:t>
            </w:r>
            <w:r w:rsidRPr="00AF5796">
              <w:rPr>
                <w:lang w:val="en-US" w:eastAsia="de-DE"/>
              </w:rPr>
              <w:t>9</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41</w:t>
            </w:r>
            <w:r w:rsidRPr="00AF5796">
              <w:rPr>
                <w:lang w:val="en-US" w:eastAsia="ja-JP"/>
              </w:rPr>
              <w:t>.</w:t>
            </w:r>
            <w:r w:rsidRPr="00AF5796">
              <w:rPr>
                <w:lang w:val="en-US" w:eastAsia="de-DE"/>
              </w:rPr>
              <w:t>7</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50</w:t>
            </w:r>
            <w:r w:rsidRPr="00AF5796">
              <w:rPr>
                <w:lang w:val="en-US" w:eastAsia="ja-JP"/>
              </w:rPr>
              <w:t>.</w:t>
            </w:r>
            <w:r w:rsidRPr="00AF5796">
              <w:rPr>
                <w:lang w:val="en-US" w:eastAsia="de-DE"/>
              </w:rPr>
              <w:t>6</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59</w:t>
            </w:r>
            <w:r w:rsidRPr="00AF5796">
              <w:rPr>
                <w:lang w:val="en-US" w:eastAsia="ja-JP"/>
              </w:rPr>
              <w:t>.</w:t>
            </w:r>
            <w:r w:rsidRPr="00AF5796">
              <w:rPr>
                <w:lang w:val="en-US" w:eastAsia="de-DE"/>
              </w:rPr>
              <w:t>7</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68</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76</w:t>
            </w:r>
            <w:r w:rsidRPr="00AF5796">
              <w:rPr>
                <w:lang w:val="en-US" w:eastAsia="ja-JP"/>
              </w:rPr>
              <w:t>.</w:t>
            </w:r>
            <w:r w:rsidRPr="00AF5796">
              <w:rPr>
                <w:lang w:val="en-US" w:eastAsia="de-DE"/>
              </w:rPr>
              <w:t>6</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83</w:t>
            </w:r>
            <w:r w:rsidRPr="00AF5796">
              <w:rPr>
                <w:lang w:val="en-US" w:eastAsia="ja-JP"/>
              </w:rPr>
              <w:t>.</w:t>
            </w:r>
            <w:r w:rsidRPr="00AF5796">
              <w:rPr>
                <w:lang w:val="en-US" w:eastAsia="de-DE"/>
              </w:rPr>
              <w:t>8</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88</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93</w:t>
            </w:r>
            <w:r w:rsidRPr="00AF5796">
              <w:rPr>
                <w:lang w:val="en-US" w:eastAsia="ja-JP"/>
              </w:rPr>
              <w:t>.</w:t>
            </w:r>
            <w:r w:rsidRPr="00AF5796">
              <w:rPr>
                <w:lang w:val="en-US" w:eastAsia="de-DE"/>
              </w:rPr>
              <w:t>1</w:t>
            </w:r>
          </w:p>
        </w:tc>
        <w:tc>
          <w:tcPr>
            <w:tcW w:w="822"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95</w:t>
            </w:r>
            <w:r w:rsidRPr="00AF5796">
              <w:rPr>
                <w:lang w:val="en-US" w:eastAsia="ja-JP"/>
              </w:rPr>
              <w:t>.</w:t>
            </w:r>
            <w:r w:rsidRPr="00AF5796">
              <w:rPr>
                <w:lang w:val="en-US" w:eastAsia="de-DE"/>
              </w:rPr>
              <w:t>5</w:t>
            </w:r>
          </w:p>
        </w:tc>
      </w:tr>
      <w:tr w:rsidR="00E315B1" w:rsidRPr="00AF5796" w:rsidTr="00E315B1">
        <w:trPr>
          <w:jc w:val="center"/>
        </w:trPr>
        <w:tc>
          <w:tcPr>
            <w:tcW w:w="8505" w:type="dxa"/>
            <w:gridSpan w:val="11"/>
            <w:tcBorders>
              <w:top w:val="single" w:sz="4" w:space="0" w:color="auto"/>
            </w:tcBorders>
            <w:vAlign w:val="center"/>
          </w:tcPr>
          <w:p w:rsidR="00E315B1" w:rsidRPr="00AF5796" w:rsidRDefault="00B52DEE" w:rsidP="00B52DEE">
            <w:pPr>
              <w:pStyle w:val="TableLegendNote"/>
              <w:rPr>
                <w:rStyle w:val="Hyperlink"/>
                <w:sz w:val="20"/>
                <w:lang w:eastAsia="ja-JP"/>
              </w:rPr>
            </w:pPr>
            <w:r>
              <w:rPr>
                <w:lang w:eastAsia="ja-JP"/>
              </w:rPr>
              <w:t xml:space="preserve">NOTE </w:t>
            </w:r>
            <w:r w:rsidR="00E315B1" w:rsidRPr="00AF5796">
              <w:rPr>
                <w:lang w:eastAsia="ja-JP"/>
              </w:rPr>
              <w:t>3 – Key ICT indicators for developed and developing countries and the world</w:t>
            </w:r>
            <w:r w:rsidR="00E315B1" w:rsidRPr="00AF5796">
              <w:rPr>
                <w:lang w:eastAsia="ja-JP"/>
              </w:rPr>
              <w:br/>
              <w:t xml:space="preserve"> </w:t>
            </w:r>
            <w:hyperlink r:id="rId21" w:history="1">
              <w:r w:rsidR="00E315B1" w:rsidRPr="00AF5796">
                <w:rPr>
                  <w:rStyle w:val="Hyperlink"/>
                  <w:sz w:val="20"/>
                  <w:lang w:eastAsia="ja-JP"/>
                </w:rPr>
                <w:t>http://www.itu.int/en/ITU-D/Statistics/Documents/statistics/2014/ITU_Key_2005-2014_ICT_data.xls</w:t>
              </w:r>
            </w:hyperlink>
            <w:r w:rsidR="009B49DC">
              <w:t xml:space="preserve"> </w:t>
            </w:r>
            <w:r w:rsidR="009B49DC" w:rsidRPr="007908BE">
              <w:t>.</w:t>
            </w:r>
          </w:p>
          <w:p w:rsidR="00E315B1" w:rsidRPr="00AF5796" w:rsidRDefault="00B52DEE" w:rsidP="00B52DEE">
            <w:pPr>
              <w:pStyle w:val="TableLegendNote"/>
              <w:rPr>
                <w:rFonts w:asciiTheme="majorBidi" w:hAnsiTheme="majorBidi" w:cstheme="majorBidi"/>
                <w:color w:val="000000"/>
                <w:lang w:eastAsia="de-DE"/>
              </w:rPr>
            </w:pPr>
            <w:r>
              <w:rPr>
                <w:lang w:eastAsia="ja-JP"/>
              </w:rPr>
              <w:t xml:space="preserve">NOTE </w:t>
            </w:r>
            <w:r w:rsidR="00E315B1" w:rsidRPr="00AF5796">
              <w:rPr>
                <w:lang w:eastAsia="ja-JP"/>
              </w:rPr>
              <w:t>4 – Projection</w:t>
            </w:r>
            <w:r w:rsidR="009B49DC">
              <w:rPr>
                <w:lang w:eastAsia="ja-JP"/>
              </w:rPr>
              <w:t>.</w:t>
            </w:r>
          </w:p>
        </w:tc>
      </w:tr>
    </w:tbl>
    <w:p w:rsidR="005D2DA7" w:rsidRPr="00AF5796" w:rsidRDefault="00E315B1" w:rsidP="005D2DA7">
      <w:pPr>
        <w:rPr>
          <w:lang w:val="en-US"/>
        </w:rPr>
      </w:pPr>
      <w:r w:rsidRPr="00AF5796">
        <w:rPr>
          <w:lang w:val="en-US" w:eastAsia="ja-JP"/>
        </w:rPr>
        <w:t>Table 4 shows statistical information</w:t>
      </w:r>
      <w:r w:rsidRPr="00AF5796">
        <w:rPr>
          <w:lang w:val="en-US"/>
        </w:rPr>
        <w:t xml:space="preserve"> </w:t>
      </w:r>
      <w:r w:rsidRPr="00AF5796">
        <w:rPr>
          <w:lang w:val="en-US" w:eastAsia="ja-JP"/>
        </w:rPr>
        <w:t xml:space="preserve">for mobile subscriptions with different terminal types, which </w:t>
      </w:r>
      <w:r w:rsidRPr="00AF5796">
        <w:rPr>
          <w:lang w:val="en-US"/>
        </w:rPr>
        <w:t xml:space="preserve">comes from </w:t>
      </w:r>
      <w:r w:rsidRPr="00AF5796">
        <w:rPr>
          <w:lang w:val="en-US" w:eastAsia="ja-JP"/>
        </w:rPr>
        <w:t xml:space="preserve">the </w:t>
      </w:r>
      <w:r w:rsidRPr="00AF5796">
        <w:rPr>
          <w:lang w:val="en-US"/>
        </w:rPr>
        <w:t>Cisco VNI White Papers</w:t>
      </w:r>
      <w:bookmarkStart w:id="26" w:name="_Ref422143559"/>
      <w:r w:rsidRPr="00AF5796">
        <w:rPr>
          <w:rStyle w:val="FootnoteReference"/>
          <w:lang w:val="en-US"/>
        </w:rPr>
        <w:footnoteReference w:id="16"/>
      </w:r>
      <w:bookmarkEnd w:id="26"/>
      <w:r w:rsidRPr="00AF5796">
        <w:rPr>
          <w:vertAlign w:val="superscript"/>
          <w:lang w:val="en-US"/>
        </w:rPr>
        <w:t xml:space="preserve"> </w:t>
      </w:r>
      <w:r w:rsidRPr="00AF5796">
        <w:rPr>
          <w:lang w:val="en-US"/>
        </w:rPr>
        <w:t>published in 2012 to 2015.</w:t>
      </w:r>
    </w:p>
    <w:p w:rsidR="005D2DA7" w:rsidRPr="00AF5796" w:rsidRDefault="005D2DA7" w:rsidP="005D2DA7">
      <w:pPr>
        <w:pStyle w:val="TableNo"/>
        <w:rPr>
          <w:lang w:val="en-US" w:eastAsia="ja-JP"/>
        </w:rPr>
      </w:pPr>
      <w:r w:rsidRPr="00AF5796">
        <w:rPr>
          <w:lang w:val="en-US" w:eastAsia="ja-JP"/>
        </w:rPr>
        <w:t>TABLE 4</w:t>
      </w:r>
    </w:p>
    <w:p w:rsidR="005D2DA7" w:rsidRPr="00AF5796" w:rsidRDefault="005D2DA7" w:rsidP="005D2DA7">
      <w:pPr>
        <w:pStyle w:val="Tabletitle"/>
        <w:rPr>
          <w:lang w:val="en-US" w:eastAsia="ja-JP"/>
        </w:rPr>
      </w:pPr>
      <w:r w:rsidRPr="00AF5796">
        <w:rPr>
          <w:lang w:val="en-US" w:eastAsia="ja-JP"/>
        </w:rPr>
        <w:t>Mobile subscriptions with different terminal types in the CISCO VNI White Paper</w:t>
      </w:r>
    </w:p>
    <w:tbl>
      <w:tblPr>
        <w:tblW w:w="0" w:type="auto"/>
        <w:jc w:val="center"/>
        <w:tblLook w:val="04A0" w:firstRow="1" w:lastRow="0" w:firstColumn="1" w:lastColumn="0" w:noHBand="0" w:noVBand="1"/>
      </w:tblPr>
      <w:tblGrid>
        <w:gridCol w:w="5565"/>
        <w:gridCol w:w="1003"/>
        <w:gridCol w:w="1004"/>
        <w:gridCol w:w="1004"/>
        <w:gridCol w:w="1004"/>
      </w:tblGrid>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Mobile subscriptions with different terminal types (Million)</w:t>
            </w:r>
          </w:p>
        </w:tc>
        <w:tc>
          <w:tcPr>
            <w:tcW w:w="1003"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2011</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2012</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2013</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2014</w:t>
            </w:r>
            <w:r w:rsidRPr="00AF5796">
              <w:rPr>
                <w:vertAlign w:val="superscript"/>
                <w:lang w:val="en-US" w:eastAsia="ja-JP"/>
              </w:rPr>
              <w:t>(5)</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lang w:val="en-US"/>
              </w:rPr>
              <w:t>Non smartphone (Feature phone)</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5007</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4727</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4688</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4542</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lang w:val="en-US"/>
              </w:rPr>
              <w:t>Smartphone</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804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1339</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1681</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2120</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rFonts w:eastAsia="SimSun"/>
                <w:lang w:val="en-US"/>
              </w:rPr>
              <w:t>Laptops</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144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126</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175</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189</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rFonts w:eastAsia="SimSun"/>
                <w:lang w:val="en-US"/>
              </w:rPr>
              <w:t xml:space="preserve">Tablets </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41</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47</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74</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rFonts w:eastAsia="SimSun"/>
                <w:lang w:val="en-US"/>
              </w:rPr>
              <w:t>M2M</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227</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224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329</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494</w:t>
            </w:r>
          </w:p>
        </w:tc>
      </w:tr>
      <w:tr w:rsidR="00E315B1" w:rsidRPr="00AF5796" w:rsidTr="00E315B1">
        <w:trPr>
          <w:jc w:val="center"/>
        </w:trPr>
        <w:tc>
          <w:tcPr>
            <w:tcW w:w="9580" w:type="dxa"/>
            <w:gridSpan w:val="5"/>
            <w:tcBorders>
              <w:top w:val="single" w:sz="4" w:space="0" w:color="auto"/>
            </w:tcBorders>
            <w:vAlign w:val="center"/>
          </w:tcPr>
          <w:p w:rsidR="00E315B1" w:rsidRPr="00AF5796" w:rsidRDefault="00E315B1" w:rsidP="00580986">
            <w:pPr>
              <w:pStyle w:val="TableLegendNote"/>
              <w:rPr>
                <w:rFonts w:eastAsia="SimSun"/>
                <w:color w:val="000000"/>
              </w:rPr>
            </w:pPr>
            <w:r w:rsidRPr="00AF5796">
              <w:rPr>
                <w:lang w:eastAsia="ja-JP"/>
              </w:rPr>
              <w:t>N</w:t>
            </w:r>
            <w:r w:rsidR="00580986">
              <w:rPr>
                <w:lang w:eastAsia="ja-JP"/>
              </w:rPr>
              <w:t>OTE 5</w:t>
            </w:r>
            <w:r w:rsidRPr="00AF5796">
              <w:rPr>
                <w:lang w:eastAsia="ja-JP"/>
              </w:rPr>
              <w:t xml:space="preserve"> – Projection</w:t>
            </w:r>
            <w:r w:rsidR="009B49DC">
              <w:rPr>
                <w:lang w:eastAsia="ja-JP"/>
              </w:rPr>
              <w:t>.</w:t>
            </w:r>
          </w:p>
        </w:tc>
      </w:tr>
    </w:tbl>
    <w:p w:rsidR="003173A1" w:rsidRPr="00AF5796" w:rsidRDefault="003173A1" w:rsidP="00EA2024">
      <w:pPr>
        <w:pStyle w:val="Tablefin"/>
        <w:rPr>
          <w:lang w:val="en-US" w:eastAsia="ja-JP"/>
        </w:rPr>
      </w:pPr>
    </w:p>
    <w:p w:rsidR="005D2DA7" w:rsidRPr="00AF5796" w:rsidRDefault="007D2ABA" w:rsidP="00C91285">
      <w:pPr>
        <w:spacing w:before="0"/>
        <w:rPr>
          <w:lang w:val="en-US" w:eastAsia="zh-CN"/>
        </w:rPr>
      </w:pPr>
      <w:r w:rsidRPr="00AF5796">
        <w:rPr>
          <w:b/>
          <w:lang w:val="en-US" w:eastAsia="zh-CN"/>
        </w:rPr>
        <w:t>Feature phones</w:t>
      </w:r>
      <w:r w:rsidR="00C91285">
        <w:rPr>
          <w:b/>
          <w:lang w:val="en-US" w:eastAsia="zh-CN"/>
        </w:rPr>
        <w:t xml:space="preserve">: </w:t>
      </w:r>
      <w:r w:rsidR="005D2DA7" w:rsidRPr="00AF5796">
        <w:rPr>
          <w:lang w:val="en-US" w:eastAsia="zh-CN"/>
        </w:rPr>
        <w:t>The number of non-smartphones (feature phones) peaked in 2011, since then their number has been dropping. Given that smartphones are more appealing to customers, it can be expected that the numbers of feature phones will continue to decrease as they are gradually replaced by smartphones. However, unless forced by external triggers (regulatory or network operational) such devices could still be present for an extended period of time.</w:t>
      </w:r>
    </w:p>
    <w:p w:rsidR="005D2DA7" w:rsidRPr="00AF5796" w:rsidRDefault="007D2ABA" w:rsidP="00701E78">
      <w:pPr>
        <w:keepNext/>
        <w:keepLines/>
        <w:rPr>
          <w:lang w:val="en-US" w:eastAsia="zh-CN"/>
        </w:rPr>
      </w:pPr>
      <w:r w:rsidRPr="00AF5796">
        <w:rPr>
          <w:b/>
          <w:lang w:val="en-US" w:eastAsia="zh-CN"/>
        </w:rPr>
        <w:lastRenderedPageBreak/>
        <w:t>Smartphones</w:t>
      </w:r>
      <w:r w:rsidR="00C91285">
        <w:rPr>
          <w:b/>
          <w:lang w:val="en-US" w:eastAsia="zh-CN"/>
        </w:rPr>
        <w:t xml:space="preserve">: </w:t>
      </w:r>
      <w:r w:rsidR="005D2DA7" w:rsidRPr="00AF5796">
        <w:rPr>
          <w:lang w:val="en-US" w:eastAsia="zh-CN"/>
        </w:rPr>
        <w:t>There is a strong growth in the number of smartphones. One relevant factor is the substitution of a feature phone by a smartphone.</w:t>
      </w:r>
    </w:p>
    <w:p w:rsidR="005D2DA7" w:rsidRPr="00AF5796" w:rsidRDefault="005D2DA7" w:rsidP="005D2DA7">
      <w:pPr>
        <w:rPr>
          <w:lang w:val="en-US" w:eastAsia="zh-CN"/>
        </w:rPr>
      </w:pPr>
      <w:r w:rsidRPr="00AF5796">
        <w:rPr>
          <w:lang w:val="en-US" w:eastAsia="zh-CN"/>
        </w:rPr>
        <w:t>The development of mobile communications and electronic component technologies, better user experience and lower price of smartphones will also contribute to this growth. Recently, new terminal category called “phablets” have emerged which is considered as smartphone with a screen having an intermediate size between a tablet and a smartphone. Therefore, Table 4 above includes phablet numbers as part of smartphones.</w:t>
      </w:r>
    </w:p>
    <w:p w:rsidR="005D2DA7" w:rsidRPr="00AF5796" w:rsidRDefault="007D2ABA" w:rsidP="00C91285">
      <w:pPr>
        <w:rPr>
          <w:lang w:val="en-US" w:eastAsia="zh-CN"/>
        </w:rPr>
      </w:pPr>
      <w:r w:rsidRPr="00AF5796">
        <w:rPr>
          <w:b/>
          <w:lang w:val="en-US" w:eastAsia="zh-CN"/>
        </w:rPr>
        <w:t>Laptops</w:t>
      </w:r>
      <w:r w:rsidR="00C91285">
        <w:rPr>
          <w:b/>
          <w:lang w:val="en-US" w:eastAsia="zh-CN"/>
        </w:rPr>
        <w:t xml:space="preserve">: </w:t>
      </w:r>
      <w:r w:rsidR="005D2DA7" w:rsidRPr="00AF5796">
        <w:rPr>
          <w:lang w:val="en-US" w:eastAsia="zh-CN"/>
        </w:rPr>
        <w:t>For laptops with IMT subscription, there was a trend to replace them by tablets, therefore their n</w:t>
      </w:r>
      <w:r w:rsidR="00DE5E1D">
        <w:rPr>
          <w:lang w:val="en-US" w:eastAsia="zh-CN"/>
        </w:rPr>
        <w:t xml:space="preserve">umber was dropping until 2012. </w:t>
      </w:r>
      <w:r w:rsidR="005D2DA7" w:rsidRPr="00AF5796">
        <w:rPr>
          <w:lang w:val="en-US" w:eastAsia="zh-CN"/>
        </w:rPr>
        <w:t xml:space="preserve">However, recently due to advent of lightweight laptops and their popularity, the number of subscriptions is increasing. </w:t>
      </w:r>
    </w:p>
    <w:p w:rsidR="005D2DA7" w:rsidRPr="00AF5796" w:rsidRDefault="007D2ABA" w:rsidP="00C91285">
      <w:pPr>
        <w:rPr>
          <w:lang w:val="en-US" w:eastAsia="zh-CN"/>
        </w:rPr>
      </w:pPr>
      <w:r w:rsidRPr="00AF5796">
        <w:rPr>
          <w:b/>
          <w:lang w:val="en-US" w:eastAsia="zh-CN"/>
        </w:rPr>
        <w:t>Tablets</w:t>
      </w:r>
      <w:r w:rsidR="00C91285">
        <w:rPr>
          <w:b/>
          <w:lang w:val="en-US" w:eastAsia="zh-CN"/>
        </w:rPr>
        <w:t xml:space="preserve">: </w:t>
      </w:r>
      <w:r w:rsidR="005D2DA7" w:rsidRPr="00AF5796">
        <w:rPr>
          <w:lang w:val="en-US" w:eastAsia="zh-CN"/>
        </w:rPr>
        <w:t xml:space="preserve">The number </w:t>
      </w:r>
      <w:r w:rsidR="005D2DA7" w:rsidRPr="00AF5796">
        <w:rPr>
          <w:lang w:val="en-US" w:eastAsia="ja-JP"/>
        </w:rPr>
        <w:t xml:space="preserve">of tablets </w:t>
      </w:r>
      <w:r w:rsidR="005D2DA7" w:rsidRPr="00AF5796">
        <w:rPr>
          <w:lang w:val="en-US" w:eastAsia="zh-CN"/>
        </w:rPr>
        <w:t>has increased significantly in recent years.</w:t>
      </w:r>
      <w:r w:rsidR="005D2DA7" w:rsidRPr="00AF5796">
        <w:rPr>
          <w:lang w:val="en-US" w:eastAsia="ja-JP"/>
        </w:rPr>
        <w:t xml:space="preserve"> As of the year 201</w:t>
      </w:r>
      <w:r w:rsidR="005D2DA7" w:rsidRPr="00AF5796">
        <w:rPr>
          <w:lang w:val="en-US" w:eastAsia="zh-CN"/>
        </w:rPr>
        <w:t>4 only 18% of tablets had a subscription (i.e. active SIM card), but it is estimated to increase to 31% by 2019</w:t>
      </w:r>
      <w:r w:rsidR="005D2DA7" w:rsidRPr="00AF5796">
        <w:rPr>
          <w:lang w:val="en-US"/>
        </w:rPr>
        <w:fldChar w:fldCharType="begin"/>
      </w:r>
      <w:r w:rsidR="005D2DA7" w:rsidRPr="00AF5796">
        <w:rPr>
          <w:lang w:val="en-US"/>
        </w:rPr>
        <w:instrText xml:space="preserve"> NOTEREF _Ref422143559 \h  \* MERGEFORMAT </w:instrText>
      </w:r>
      <w:r w:rsidR="005D2DA7" w:rsidRPr="00AF5796">
        <w:rPr>
          <w:lang w:val="en-US"/>
        </w:rPr>
      </w:r>
      <w:r w:rsidR="005D2DA7" w:rsidRPr="00AF5796">
        <w:rPr>
          <w:lang w:val="en-US"/>
        </w:rPr>
        <w:fldChar w:fldCharType="separate"/>
      </w:r>
      <w:r w:rsidR="003547D8" w:rsidRPr="003547D8">
        <w:rPr>
          <w:vertAlign w:val="superscript"/>
          <w:lang w:val="en-US" w:eastAsia="zh-CN"/>
        </w:rPr>
        <w:t>16</w:t>
      </w:r>
      <w:r w:rsidR="005D2DA7" w:rsidRPr="00AF5796">
        <w:rPr>
          <w:lang w:val="en-US"/>
        </w:rPr>
        <w:fldChar w:fldCharType="end"/>
      </w:r>
      <w:r w:rsidR="005D2DA7" w:rsidRPr="00AF5796">
        <w:rPr>
          <w:lang w:val="en-US" w:eastAsia="zh-CN"/>
        </w:rPr>
        <w:t>.</w:t>
      </w:r>
    </w:p>
    <w:p w:rsidR="005D2DA7" w:rsidRPr="00AF5796" w:rsidRDefault="005D2DA7" w:rsidP="005D2DA7">
      <w:pPr>
        <w:rPr>
          <w:lang w:val="en-US" w:eastAsia="ja-JP"/>
        </w:rPr>
      </w:pPr>
      <w:r w:rsidRPr="00AF5796">
        <w:rPr>
          <w:lang w:val="en-US" w:eastAsia="zh-CN"/>
        </w:rPr>
        <w:t xml:space="preserve">With IMT broadband networks becoming increasingly robust and IMT-Advanced increasingly deployed, </w:t>
      </w:r>
      <w:r w:rsidRPr="00AF5796">
        <w:rPr>
          <w:szCs w:val="24"/>
          <w:lang w:val="en-US"/>
        </w:rPr>
        <w:t>many tablets without subscription will be connected to IMT networks via the tethering mode of smartphones. These tablets contribute to increased IMT traffic (i.e. IMT traffic from smartphones).</w:t>
      </w:r>
    </w:p>
    <w:p w:rsidR="005D2DA7" w:rsidRPr="00AF5796" w:rsidRDefault="005D2DA7" w:rsidP="005D2DA7">
      <w:pPr>
        <w:rPr>
          <w:lang w:val="en-US" w:eastAsia="zh-CN"/>
        </w:rPr>
      </w:pPr>
      <w:r w:rsidRPr="00AF5796">
        <w:rPr>
          <w:lang w:val="en-US" w:eastAsia="zh-CN"/>
        </w:rPr>
        <w:t>The development of mobile communications and electronic component technologies, better user experience and lower prices contribute to an increase of the number of tablets.</w:t>
      </w:r>
    </w:p>
    <w:p w:rsidR="005D2DA7" w:rsidRPr="00AF5796" w:rsidRDefault="007D2ABA" w:rsidP="00C91285">
      <w:pPr>
        <w:rPr>
          <w:lang w:val="en-US" w:eastAsia="zh-CN"/>
        </w:rPr>
      </w:pPr>
      <w:r w:rsidRPr="00AF5796">
        <w:rPr>
          <w:b/>
          <w:lang w:val="en-US" w:eastAsia="zh-CN"/>
        </w:rPr>
        <w:t>M2M</w:t>
      </w:r>
      <w:r w:rsidR="00C91285">
        <w:rPr>
          <w:b/>
          <w:lang w:val="en-US" w:eastAsia="zh-CN"/>
        </w:rPr>
        <w:t xml:space="preserve">: </w:t>
      </w:r>
      <w:r w:rsidR="005D2DA7" w:rsidRPr="00AF5796">
        <w:rPr>
          <w:lang w:val="en-US" w:eastAsia="zh-CN"/>
        </w:rPr>
        <w:t xml:space="preserve">Table </w:t>
      </w:r>
      <w:r w:rsidR="005D2DA7" w:rsidRPr="00AF5796">
        <w:rPr>
          <w:lang w:val="en-US" w:eastAsia="ja-JP"/>
        </w:rPr>
        <w:t>4</w:t>
      </w:r>
      <w:r w:rsidR="005D2DA7" w:rsidRPr="00AF5796">
        <w:rPr>
          <w:lang w:val="en-US" w:eastAsia="zh-CN"/>
        </w:rPr>
        <w:t xml:space="preserve"> shows</w:t>
      </w:r>
      <w:r w:rsidR="005D2DA7" w:rsidRPr="00AF5796">
        <w:rPr>
          <w:lang w:val="en-US" w:eastAsia="ja-JP"/>
        </w:rPr>
        <w:t xml:space="preserve"> the number of </w:t>
      </w:r>
      <w:r w:rsidR="005D2DA7" w:rsidRPr="00AF5796">
        <w:rPr>
          <w:lang w:val="en-US" w:eastAsia="zh-CN"/>
        </w:rPr>
        <w:t>M2M subscrip</w:t>
      </w:r>
      <w:r w:rsidR="00DE5E1D">
        <w:rPr>
          <w:lang w:val="en-US" w:eastAsia="zh-CN"/>
        </w:rPr>
        <w:t>tions remained flat until 2012.</w:t>
      </w:r>
      <w:r w:rsidR="005D2DA7" w:rsidRPr="00AF5796">
        <w:rPr>
          <w:lang w:val="en-US" w:eastAsia="zh-CN"/>
        </w:rPr>
        <w:t xml:space="preserve"> However, since then a significant growth trend can be observed. </w:t>
      </w:r>
    </w:p>
    <w:p w:rsidR="005D2DA7" w:rsidRPr="00AF5796" w:rsidRDefault="005D2DA7" w:rsidP="003173A1">
      <w:pPr>
        <w:pStyle w:val="Heading2"/>
        <w:rPr>
          <w:lang w:val="en-US" w:eastAsia="ja-JP"/>
        </w:rPr>
      </w:pPr>
      <w:bookmarkStart w:id="27" w:name="_Toc427932299"/>
      <w:bookmarkStart w:id="28" w:name="_Toc427935108"/>
      <w:r w:rsidRPr="00AF5796">
        <w:rPr>
          <w:lang w:val="en-US"/>
        </w:rPr>
        <w:t>4.2</w:t>
      </w:r>
      <w:r w:rsidRPr="00AF5796">
        <w:rPr>
          <w:lang w:val="en-US" w:eastAsia="ja-JP"/>
        </w:rPr>
        <w:tab/>
      </w:r>
      <w:r w:rsidRPr="00AF5796">
        <w:rPr>
          <w:lang w:val="en-US"/>
        </w:rPr>
        <w:t xml:space="preserve">Estimations of global number of </w:t>
      </w:r>
      <w:r w:rsidRPr="00AF5796">
        <w:rPr>
          <w:lang w:val="en-US" w:eastAsia="ja-JP"/>
        </w:rPr>
        <w:t>mobile subscriptions to 2030</w:t>
      </w:r>
      <w:bookmarkEnd w:id="27"/>
      <w:bookmarkEnd w:id="28"/>
    </w:p>
    <w:p w:rsidR="005D2DA7" w:rsidRPr="00AF5796" w:rsidRDefault="005D2DA7" w:rsidP="003173A1">
      <w:pPr>
        <w:pStyle w:val="Heading3"/>
        <w:rPr>
          <w:lang w:val="en-US" w:eastAsia="ja-JP"/>
        </w:rPr>
      </w:pPr>
      <w:r w:rsidRPr="00AF5796">
        <w:rPr>
          <w:lang w:val="en-US" w:eastAsia="ja-JP"/>
        </w:rPr>
        <w:t>4.2.1</w:t>
      </w:r>
      <w:r w:rsidRPr="00AF5796">
        <w:rPr>
          <w:lang w:val="en-US"/>
        </w:rPr>
        <w:tab/>
        <w:t>Estimation 1</w:t>
      </w:r>
      <w:r w:rsidRPr="00AF5796">
        <w:rPr>
          <w:rStyle w:val="FootnoteReference"/>
          <w:b w:val="0"/>
          <w:lang w:val="en-US"/>
        </w:rPr>
        <w:footnoteReference w:id="17"/>
      </w:r>
    </w:p>
    <w:p w:rsidR="005D2DA7" w:rsidRPr="00AF5796" w:rsidRDefault="005D2DA7" w:rsidP="005D2DA7">
      <w:pPr>
        <w:rPr>
          <w:lang w:val="en-US"/>
        </w:rPr>
      </w:pPr>
      <w:r w:rsidRPr="00AF5796">
        <w:rPr>
          <w:lang w:val="en-US"/>
        </w:rPr>
        <w:t xml:space="preserve">Concerning global mobile subscriptions, this estimation method consists of statistical data collection, estimation of the increase of global mobile subscriptions through curve fitting. In addition, estimation model used and parameters were based on the power function fitting (e.g. of curve fitting as depicted in Annex 1) to estimate the year on year growth until 2030, and then calculate the mobile subscriptions every year. In this estimation, statistical information was based Table </w:t>
      </w:r>
      <w:r w:rsidRPr="00AF5796">
        <w:rPr>
          <w:lang w:val="en-US" w:eastAsia="ja-JP"/>
        </w:rPr>
        <w:t>5</w:t>
      </w:r>
      <w:r w:rsidRPr="00AF5796">
        <w:rPr>
          <w:lang w:val="en-US"/>
        </w:rPr>
        <w:t xml:space="preserve"> below.</w:t>
      </w:r>
    </w:p>
    <w:p w:rsidR="005D2DA7" w:rsidRPr="00AF5796" w:rsidRDefault="005D2DA7" w:rsidP="005D2DA7">
      <w:pPr>
        <w:pStyle w:val="TableNo"/>
        <w:rPr>
          <w:lang w:val="en-US" w:eastAsia="ja-JP"/>
        </w:rPr>
      </w:pPr>
      <w:r w:rsidRPr="00AF5796">
        <w:rPr>
          <w:lang w:val="en-US" w:eastAsia="ja-JP"/>
        </w:rPr>
        <w:t>TABLE 5</w:t>
      </w:r>
    </w:p>
    <w:p w:rsidR="005D2DA7" w:rsidRPr="00AF5796" w:rsidRDefault="005D2DA7" w:rsidP="005D2DA7">
      <w:pPr>
        <w:pStyle w:val="Tabletitle"/>
        <w:rPr>
          <w:lang w:val="en-US" w:eastAsia="ja-JP"/>
        </w:rPr>
      </w:pPr>
      <w:r w:rsidRPr="00AF5796">
        <w:rPr>
          <w:lang w:val="en-US" w:eastAsia="ja-JP"/>
        </w:rPr>
        <w:t>Statistical information used in the 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813"/>
        <w:gridCol w:w="813"/>
        <w:gridCol w:w="814"/>
        <w:gridCol w:w="814"/>
        <w:gridCol w:w="814"/>
        <w:gridCol w:w="814"/>
        <w:gridCol w:w="814"/>
        <w:gridCol w:w="814"/>
        <w:gridCol w:w="814"/>
      </w:tblGrid>
      <w:tr w:rsidR="005D2DA7" w:rsidRPr="00AF5796" w:rsidTr="00DA65B8">
        <w:trPr>
          <w:jc w:val="center"/>
        </w:trPr>
        <w:tc>
          <w:tcPr>
            <w:tcW w:w="2098" w:type="dxa"/>
            <w:vAlign w:val="center"/>
          </w:tcPr>
          <w:p w:rsidR="005D2DA7" w:rsidRPr="00AF5796" w:rsidRDefault="005D2DA7" w:rsidP="003173A1">
            <w:pPr>
              <w:pStyle w:val="Tablehead"/>
              <w:rPr>
                <w:lang w:val="en-US" w:eastAsia="ja-JP"/>
              </w:rPr>
            </w:pPr>
            <w:r w:rsidRPr="00AF5796">
              <w:rPr>
                <w:lang w:val="en-US" w:eastAsia="ja-JP"/>
              </w:rPr>
              <w:t>Years</w:t>
            </w:r>
          </w:p>
        </w:tc>
        <w:tc>
          <w:tcPr>
            <w:tcW w:w="737" w:type="dxa"/>
            <w:vAlign w:val="center"/>
          </w:tcPr>
          <w:p w:rsidR="005D2DA7" w:rsidRPr="00AF5796" w:rsidRDefault="005D2DA7" w:rsidP="003173A1">
            <w:pPr>
              <w:pStyle w:val="Tablehead"/>
              <w:rPr>
                <w:lang w:val="en-US" w:eastAsia="ja-JP"/>
              </w:rPr>
            </w:pPr>
            <w:r w:rsidRPr="00AF5796">
              <w:rPr>
                <w:lang w:val="en-US" w:eastAsia="ja-JP"/>
              </w:rPr>
              <w:t>2005</w:t>
            </w:r>
          </w:p>
        </w:tc>
        <w:tc>
          <w:tcPr>
            <w:tcW w:w="737" w:type="dxa"/>
            <w:vAlign w:val="center"/>
          </w:tcPr>
          <w:p w:rsidR="005D2DA7" w:rsidRPr="00AF5796" w:rsidRDefault="005D2DA7" w:rsidP="003173A1">
            <w:pPr>
              <w:pStyle w:val="Tablehead"/>
              <w:rPr>
                <w:lang w:val="en-US" w:eastAsia="ja-JP"/>
              </w:rPr>
            </w:pPr>
            <w:r w:rsidRPr="00AF5796">
              <w:rPr>
                <w:lang w:val="en-US" w:eastAsia="ja-JP"/>
              </w:rPr>
              <w:t>2006</w:t>
            </w:r>
          </w:p>
        </w:tc>
        <w:tc>
          <w:tcPr>
            <w:tcW w:w="737" w:type="dxa"/>
            <w:vAlign w:val="center"/>
          </w:tcPr>
          <w:p w:rsidR="005D2DA7" w:rsidRPr="00AF5796" w:rsidRDefault="005D2DA7" w:rsidP="003173A1">
            <w:pPr>
              <w:pStyle w:val="Tablehead"/>
              <w:rPr>
                <w:lang w:val="en-US" w:eastAsia="ja-JP"/>
              </w:rPr>
            </w:pPr>
            <w:r w:rsidRPr="00AF5796">
              <w:rPr>
                <w:lang w:val="en-US" w:eastAsia="ja-JP"/>
              </w:rPr>
              <w:t>2007</w:t>
            </w:r>
          </w:p>
        </w:tc>
        <w:tc>
          <w:tcPr>
            <w:tcW w:w="737" w:type="dxa"/>
            <w:vAlign w:val="center"/>
          </w:tcPr>
          <w:p w:rsidR="005D2DA7" w:rsidRPr="00AF5796" w:rsidRDefault="005D2DA7" w:rsidP="003173A1">
            <w:pPr>
              <w:pStyle w:val="Tablehead"/>
              <w:rPr>
                <w:lang w:val="en-US" w:eastAsia="ja-JP"/>
              </w:rPr>
            </w:pPr>
            <w:r w:rsidRPr="00AF5796">
              <w:rPr>
                <w:lang w:val="en-US" w:eastAsia="ja-JP"/>
              </w:rPr>
              <w:t>2008</w:t>
            </w:r>
          </w:p>
        </w:tc>
        <w:tc>
          <w:tcPr>
            <w:tcW w:w="737" w:type="dxa"/>
            <w:vAlign w:val="center"/>
          </w:tcPr>
          <w:p w:rsidR="005D2DA7" w:rsidRPr="00AF5796" w:rsidRDefault="005D2DA7" w:rsidP="003173A1">
            <w:pPr>
              <w:pStyle w:val="Tablehead"/>
              <w:rPr>
                <w:lang w:val="en-US" w:eastAsia="ja-JP"/>
              </w:rPr>
            </w:pPr>
            <w:r w:rsidRPr="00AF5796">
              <w:rPr>
                <w:lang w:val="en-US" w:eastAsia="ja-JP"/>
              </w:rPr>
              <w:t>2009</w:t>
            </w:r>
          </w:p>
        </w:tc>
        <w:tc>
          <w:tcPr>
            <w:tcW w:w="737" w:type="dxa"/>
            <w:vAlign w:val="center"/>
          </w:tcPr>
          <w:p w:rsidR="005D2DA7" w:rsidRPr="00AF5796" w:rsidRDefault="005D2DA7" w:rsidP="003173A1">
            <w:pPr>
              <w:pStyle w:val="Tablehead"/>
              <w:rPr>
                <w:lang w:val="en-US" w:eastAsia="ja-JP"/>
              </w:rPr>
            </w:pPr>
            <w:r w:rsidRPr="00AF5796">
              <w:rPr>
                <w:lang w:val="en-US" w:eastAsia="ja-JP"/>
              </w:rPr>
              <w:t>2010</w:t>
            </w:r>
          </w:p>
        </w:tc>
        <w:tc>
          <w:tcPr>
            <w:tcW w:w="737" w:type="dxa"/>
            <w:vAlign w:val="center"/>
          </w:tcPr>
          <w:p w:rsidR="005D2DA7" w:rsidRPr="00AF5796" w:rsidRDefault="005D2DA7" w:rsidP="003173A1">
            <w:pPr>
              <w:pStyle w:val="Tablehead"/>
              <w:rPr>
                <w:lang w:val="en-US" w:eastAsia="ja-JP"/>
              </w:rPr>
            </w:pPr>
            <w:r w:rsidRPr="00AF5796">
              <w:rPr>
                <w:lang w:val="en-US" w:eastAsia="ja-JP"/>
              </w:rPr>
              <w:t>2011</w:t>
            </w:r>
          </w:p>
        </w:tc>
        <w:tc>
          <w:tcPr>
            <w:tcW w:w="737" w:type="dxa"/>
            <w:vAlign w:val="center"/>
          </w:tcPr>
          <w:p w:rsidR="005D2DA7" w:rsidRPr="00AF5796" w:rsidRDefault="005D2DA7" w:rsidP="003173A1">
            <w:pPr>
              <w:pStyle w:val="Tablehead"/>
              <w:rPr>
                <w:lang w:val="en-US" w:eastAsia="ja-JP"/>
              </w:rPr>
            </w:pPr>
            <w:r w:rsidRPr="00AF5796">
              <w:rPr>
                <w:lang w:val="en-US" w:eastAsia="ja-JP"/>
              </w:rPr>
              <w:t>2012</w:t>
            </w:r>
          </w:p>
        </w:tc>
        <w:tc>
          <w:tcPr>
            <w:tcW w:w="737" w:type="dxa"/>
            <w:vAlign w:val="center"/>
          </w:tcPr>
          <w:p w:rsidR="005D2DA7" w:rsidRPr="00AF5796" w:rsidRDefault="005D2DA7" w:rsidP="003173A1">
            <w:pPr>
              <w:pStyle w:val="Tablehead"/>
              <w:rPr>
                <w:lang w:val="en-US" w:eastAsia="ja-JP"/>
              </w:rPr>
            </w:pPr>
            <w:r w:rsidRPr="00AF5796">
              <w:rPr>
                <w:lang w:val="en-US" w:eastAsia="ja-JP"/>
              </w:rPr>
              <w:t>2013</w:t>
            </w:r>
          </w:p>
        </w:tc>
      </w:tr>
      <w:tr w:rsidR="005D2DA7" w:rsidRPr="00AF5796" w:rsidTr="00DA65B8">
        <w:trPr>
          <w:jc w:val="center"/>
        </w:trPr>
        <w:tc>
          <w:tcPr>
            <w:tcW w:w="2098" w:type="dxa"/>
            <w:vAlign w:val="center"/>
          </w:tcPr>
          <w:p w:rsidR="005D2DA7" w:rsidRPr="00AF5796" w:rsidRDefault="005D2DA7" w:rsidP="00D513B3">
            <w:pPr>
              <w:pStyle w:val="Tabletext"/>
              <w:jc w:val="center"/>
              <w:rPr>
                <w:lang w:val="en-US" w:eastAsia="ja-JP"/>
              </w:rPr>
            </w:pPr>
            <w:r w:rsidRPr="00AF5796">
              <w:rPr>
                <w:lang w:val="en-US" w:eastAsia="ja-JP"/>
              </w:rPr>
              <w:t>Global mobile subscriptions (Million)</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2 205</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2 745</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3 368</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4 040</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4 640</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5 320</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5 962</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6 411</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6 835</w:t>
            </w:r>
          </w:p>
        </w:tc>
      </w:tr>
    </w:tbl>
    <w:p w:rsidR="005D2DA7" w:rsidRPr="00AF5796" w:rsidRDefault="005D2DA7" w:rsidP="003173A1">
      <w:pPr>
        <w:pStyle w:val="Tablefin"/>
        <w:jc w:val="right"/>
        <w:rPr>
          <w:lang w:val="en-US" w:eastAsia="ja-JP"/>
        </w:rPr>
      </w:pPr>
    </w:p>
    <w:p w:rsidR="005D2DA7" w:rsidRPr="00AF5796" w:rsidRDefault="005D2DA7" w:rsidP="005D2DA7">
      <w:pPr>
        <w:rPr>
          <w:lang w:val="en-US"/>
        </w:rPr>
      </w:pPr>
      <w:r w:rsidRPr="00AF5796">
        <w:rPr>
          <w:szCs w:val="24"/>
          <w:lang w:val="en-US"/>
        </w:rPr>
        <w:t>The differences between Table 3 and Table 5 are due to the fact this</w:t>
      </w:r>
      <w:r w:rsidRPr="00AF5796">
        <w:rPr>
          <w:lang w:val="en-US"/>
        </w:rPr>
        <w:t xml:space="preserve"> estimation uses some other consultant companies’ data with different statistic metrics.</w:t>
      </w:r>
    </w:p>
    <w:p w:rsidR="005D2DA7" w:rsidRPr="00AF5796" w:rsidRDefault="00066DC8" w:rsidP="00207607">
      <w:pPr>
        <w:rPr>
          <w:lang w:val="en-US" w:eastAsia="ja-JP"/>
        </w:rPr>
      </w:pPr>
      <w:r w:rsidRPr="00AF5796">
        <w:rPr>
          <w:lang w:val="en-US" w:eastAsia="ja-JP"/>
        </w:rPr>
        <w:t>Figure</w:t>
      </w:r>
      <w:r w:rsidR="005D2DA7" w:rsidRPr="00AF5796">
        <w:rPr>
          <w:lang w:val="en-US" w:eastAsia="ja-JP"/>
        </w:rPr>
        <w:t xml:space="preserve"> 3 </w:t>
      </w:r>
      <w:r w:rsidR="005D2DA7" w:rsidRPr="00AF5796">
        <w:rPr>
          <w:lang w:val="en-US"/>
        </w:rPr>
        <w:t>below depict</w:t>
      </w:r>
      <w:r w:rsidR="005D2DA7" w:rsidRPr="00AF5796">
        <w:rPr>
          <w:lang w:val="en-US" w:eastAsia="ja-JP"/>
        </w:rPr>
        <w:t>s</w:t>
      </w:r>
      <w:r w:rsidR="005D2DA7" w:rsidRPr="00AF5796">
        <w:rPr>
          <w:lang w:val="en-US"/>
        </w:rPr>
        <w:t xml:space="preserve"> </w:t>
      </w:r>
      <w:r w:rsidR="005D2DA7" w:rsidRPr="00AF5796">
        <w:rPr>
          <w:lang w:val="en-US" w:eastAsia="ja-JP"/>
        </w:rPr>
        <w:t xml:space="preserve">estimation of </w:t>
      </w:r>
      <w:r w:rsidR="005D2DA7" w:rsidRPr="00AF5796">
        <w:rPr>
          <w:lang w:val="en-US"/>
        </w:rPr>
        <w:t xml:space="preserve">global mobile subscriptions and shows that they will grow rapidly </w:t>
      </w:r>
      <w:r w:rsidR="00193690" w:rsidRPr="00AF5796">
        <w:rPr>
          <w:lang w:val="en-US"/>
        </w:rPr>
        <w:t>between 2020 and 2030.</w:t>
      </w:r>
    </w:p>
    <w:p w:rsidR="005D2DA7" w:rsidRPr="00AF5796" w:rsidRDefault="005D2DA7" w:rsidP="005D2DA7">
      <w:pPr>
        <w:pStyle w:val="Figuretitle"/>
        <w:spacing w:after="240"/>
        <w:rPr>
          <w:lang w:val="en-US" w:eastAsia="zh-CN"/>
        </w:rPr>
      </w:pPr>
      <w:r w:rsidRPr="00AF5796">
        <w:rPr>
          <w:lang w:val="en-US" w:eastAsia="zh-CN"/>
        </w:rPr>
        <w:lastRenderedPageBreak/>
        <w:t>Estimation of global mobile subscriptions</w:t>
      </w:r>
    </w:p>
    <w:p w:rsidR="005D2DA7" w:rsidRPr="00AF5796" w:rsidRDefault="005D2DA7" w:rsidP="00007F6F">
      <w:pPr>
        <w:pStyle w:val="Figure"/>
        <w:rPr>
          <w:lang w:val="en-US"/>
        </w:rPr>
      </w:pPr>
      <w:r w:rsidRPr="00AF5796">
        <w:rPr>
          <w:noProof/>
          <w:lang w:val="en-US" w:eastAsia="zh-CN"/>
        </w:rPr>
        <w:drawing>
          <wp:inline distT="0" distB="0" distL="0" distR="0" wp14:anchorId="5AA22138" wp14:editId="18E154BC">
            <wp:extent cx="5573865" cy="2536466"/>
            <wp:effectExtent l="0" t="0" r="27305" b="16510"/>
            <wp:docPr id="17"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2DA7" w:rsidRPr="00AF5796" w:rsidRDefault="005D2DA7" w:rsidP="005D2DA7">
      <w:pPr>
        <w:rPr>
          <w:szCs w:val="24"/>
          <w:lang w:val="en-US" w:eastAsia="ja-JP"/>
        </w:rPr>
      </w:pPr>
      <w:r w:rsidRPr="00AF5796">
        <w:rPr>
          <w:szCs w:val="24"/>
          <w:lang w:val="en-US" w:eastAsia="ja-JP"/>
        </w:rPr>
        <w:t xml:space="preserve">The number of global mobile subscriptions has already reached 6.7 billion in 2013. As a result of the </w:t>
      </w:r>
      <w:r w:rsidRPr="00AF5796">
        <w:rPr>
          <w:szCs w:val="24"/>
          <w:lang w:val="en-US" w:eastAsia="zh-CN"/>
        </w:rPr>
        <w:t xml:space="preserve">system </w:t>
      </w:r>
      <w:r w:rsidRPr="00AF5796">
        <w:rPr>
          <w:szCs w:val="24"/>
          <w:lang w:val="en-US" w:eastAsia="ja-JP"/>
        </w:rPr>
        <w:t>performance improvements</w:t>
      </w:r>
      <w:r w:rsidRPr="00AF5796">
        <w:rPr>
          <w:szCs w:val="24"/>
          <w:lang w:val="en-US" w:eastAsia="zh-CN"/>
        </w:rPr>
        <w:t>,</w:t>
      </w:r>
      <w:r w:rsidRPr="00AF5796">
        <w:rPr>
          <w:szCs w:val="24"/>
          <w:lang w:val="en-US" w:eastAsia="ja-JP"/>
        </w:rPr>
        <w:t xml:space="preserve"> </w:t>
      </w:r>
      <w:r w:rsidRPr="00AF5796">
        <w:rPr>
          <w:szCs w:val="24"/>
          <w:lang w:val="en-US" w:eastAsia="zh-CN"/>
        </w:rPr>
        <w:t>widely used</w:t>
      </w:r>
      <w:r w:rsidRPr="00AF5796">
        <w:rPr>
          <w:szCs w:val="24"/>
          <w:lang w:val="en-US" w:eastAsia="ja-JP"/>
        </w:rPr>
        <w:t xml:space="preserve"> new </w:t>
      </w:r>
      <w:r w:rsidRPr="00AF5796">
        <w:rPr>
          <w:szCs w:val="24"/>
          <w:lang w:val="en-US" w:eastAsia="zh-CN"/>
        </w:rPr>
        <w:t>device types</w:t>
      </w:r>
      <w:r w:rsidRPr="00AF5796">
        <w:rPr>
          <w:szCs w:val="24"/>
          <w:lang w:val="en-US" w:eastAsia="ja-JP"/>
        </w:rPr>
        <w:t xml:space="preserve"> and application</w:t>
      </w:r>
      <w:r w:rsidRPr="00AF5796">
        <w:rPr>
          <w:szCs w:val="24"/>
          <w:lang w:val="en-US" w:eastAsia="zh-CN"/>
        </w:rPr>
        <w:t>s</w:t>
      </w:r>
      <w:r w:rsidRPr="00AF5796">
        <w:rPr>
          <w:szCs w:val="24"/>
          <w:lang w:val="en-US" w:eastAsia="ja-JP"/>
        </w:rPr>
        <w:t xml:space="preserve">, the number of global mobile </w:t>
      </w:r>
      <w:r w:rsidRPr="00AF5796">
        <w:rPr>
          <w:szCs w:val="24"/>
          <w:lang w:val="en-US" w:eastAsia="zh-CN"/>
        </w:rPr>
        <w:t>subscription</w:t>
      </w:r>
      <w:r w:rsidRPr="00AF5796">
        <w:rPr>
          <w:szCs w:val="24"/>
          <w:lang w:val="en-US" w:eastAsia="ja-JP"/>
        </w:rPr>
        <w:t xml:space="preserve">s will increase significantly in the future. It was estimated that the number of global mobile subscriptions could be 13.8 billion in 2025 and 17.1 billion in 2030. </w:t>
      </w:r>
    </w:p>
    <w:p w:rsidR="005D2DA7" w:rsidRPr="00AF5796" w:rsidRDefault="005D2DA7" w:rsidP="005D2DA7">
      <w:pPr>
        <w:pStyle w:val="Headingb"/>
        <w:rPr>
          <w:lang w:val="en-US" w:eastAsia="ja-JP"/>
        </w:rPr>
      </w:pPr>
      <w:r w:rsidRPr="00AF5796">
        <w:rPr>
          <w:lang w:val="en-US" w:eastAsia="ja-JP"/>
        </w:rPr>
        <w:t xml:space="preserve">Estimation of global mobile subscriptions of each type of terminal </w:t>
      </w:r>
    </w:p>
    <w:p w:rsidR="005D2DA7" w:rsidRPr="00AF5796" w:rsidRDefault="005D2DA7" w:rsidP="005D2DA7">
      <w:pPr>
        <w:rPr>
          <w:szCs w:val="24"/>
          <w:lang w:val="en-US" w:eastAsia="ja-JP"/>
        </w:rPr>
      </w:pPr>
      <w:r w:rsidRPr="00AF5796">
        <w:rPr>
          <w:szCs w:val="24"/>
          <w:lang w:val="en-US" w:eastAsia="zh-CN"/>
        </w:rPr>
        <w:t>The estimation method used for mobile subscriptions of each type of terminal was based on the curve fitting approac</w:t>
      </w:r>
      <w:r w:rsidRPr="00AF5796">
        <w:rPr>
          <w:szCs w:val="24"/>
          <w:lang w:val="en-US" w:eastAsia="ja-JP"/>
        </w:rPr>
        <w:t xml:space="preserve">h and revised through normalization method based on the estimated result of global mobile subscriptions. Based on power function fitting (an example of curve fitting) to estimate the year on year growth of each type of terminal separately, the mobile subscriptions of each type of terminal every year can be calculated. </w:t>
      </w:r>
    </w:p>
    <w:p w:rsidR="005D2DA7" w:rsidRPr="00AF5796" w:rsidRDefault="005D2DA7" w:rsidP="005D2DA7">
      <w:pPr>
        <w:spacing w:after="240"/>
        <w:rPr>
          <w:lang w:val="en-US" w:eastAsia="ja-JP"/>
        </w:rPr>
      </w:pPr>
      <w:r w:rsidRPr="00AF5796">
        <w:rPr>
          <w:szCs w:val="24"/>
          <w:lang w:val="en-US" w:eastAsia="ja-JP"/>
        </w:rPr>
        <w:t>One assumption is that the number of feature phone subscriptions will reduce gradually and the feature phone will be substituted by other types of terminal around 2025. The estimated result was finally revised through normalization method based on the estimated result of overall global subscriptions (with the assumption that the proportion of each type of terminal obtained from respective curve-fitting results is unchanged).</w:t>
      </w:r>
      <w:r w:rsidRPr="00AF5796">
        <w:rPr>
          <w:lang w:val="en-US" w:eastAsia="ja-JP"/>
        </w:rPr>
        <w:t xml:space="preserve"> The statistical information used in this estimation was based on Table 6 below.</w:t>
      </w:r>
    </w:p>
    <w:p w:rsidR="005D2DA7" w:rsidRPr="00AF5796" w:rsidRDefault="005D2DA7" w:rsidP="005D2DA7">
      <w:pPr>
        <w:pStyle w:val="TableNo"/>
        <w:rPr>
          <w:lang w:val="en-US" w:eastAsia="ja-JP"/>
        </w:rPr>
      </w:pPr>
      <w:r w:rsidRPr="00AF5796">
        <w:rPr>
          <w:lang w:val="en-US" w:eastAsia="ja-JP"/>
        </w:rPr>
        <w:t>TABLE 6</w:t>
      </w:r>
    </w:p>
    <w:p w:rsidR="005D2DA7" w:rsidRPr="00AF5796" w:rsidRDefault="005D2DA7" w:rsidP="005D2DA7">
      <w:pPr>
        <w:pStyle w:val="Tabletitle"/>
        <w:rPr>
          <w:lang w:val="en-US" w:eastAsia="ja-JP"/>
        </w:rPr>
      </w:pPr>
      <w:r w:rsidRPr="00AF5796">
        <w:rPr>
          <w:lang w:val="en-US" w:eastAsia="ja-JP"/>
        </w:rPr>
        <w:t>Statistical information used in the 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932"/>
        <w:gridCol w:w="933"/>
        <w:gridCol w:w="933"/>
        <w:gridCol w:w="933"/>
      </w:tblGrid>
      <w:tr w:rsidR="005D2DA7" w:rsidRPr="00AF5796" w:rsidTr="00C91285">
        <w:trPr>
          <w:jc w:val="center"/>
        </w:trPr>
        <w:tc>
          <w:tcPr>
            <w:tcW w:w="5386" w:type="dxa"/>
          </w:tcPr>
          <w:p w:rsidR="005D2DA7" w:rsidRPr="00AF5796" w:rsidRDefault="005D2DA7" w:rsidP="00007F6F">
            <w:pPr>
              <w:pStyle w:val="Tablehead"/>
              <w:rPr>
                <w:lang w:val="en-US" w:eastAsia="ja-JP"/>
              </w:rPr>
            </w:pPr>
            <w:r w:rsidRPr="00AF5796">
              <w:rPr>
                <w:lang w:val="en-US" w:eastAsia="ja-JP"/>
              </w:rPr>
              <w:t>Mobile subscriptions with different terminal types (Million)</w:t>
            </w:r>
          </w:p>
        </w:tc>
        <w:tc>
          <w:tcPr>
            <w:tcW w:w="850" w:type="dxa"/>
          </w:tcPr>
          <w:p w:rsidR="005D2DA7" w:rsidRPr="00AF5796" w:rsidRDefault="005D2DA7" w:rsidP="00007F6F">
            <w:pPr>
              <w:pStyle w:val="Tablehead"/>
              <w:rPr>
                <w:lang w:val="en-US" w:eastAsia="ja-JP"/>
              </w:rPr>
            </w:pPr>
            <w:r w:rsidRPr="00AF5796">
              <w:rPr>
                <w:lang w:val="en-US" w:eastAsia="ja-JP"/>
              </w:rPr>
              <w:t>2010</w:t>
            </w:r>
          </w:p>
        </w:tc>
        <w:tc>
          <w:tcPr>
            <w:tcW w:w="850" w:type="dxa"/>
          </w:tcPr>
          <w:p w:rsidR="005D2DA7" w:rsidRPr="00AF5796" w:rsidRDefault="005D2DA7" w:rsidP="00007F6F">
            <w:pPr>
              <w:pStyle w:val="Tablehead"/>
              <w:rPr>
                <w:lang w:val="en-US" w:eastAsia="ja-JP"/>
              </w:rPr>
            </w:pPr>
            <w:r w:rsidRPr="00AF5796">
              <w:rPr>
                <w:lang w:val="en-US" w:eastAsia="ja-JP"/>
              </w:rPr>
              <w:t>2011</w:t>
            </w:r>
          </w:p>
        </w:tc>
        <w:tc>
          <w:tcPr>
            <w:tcW w:w="850" w:type="dxa"/>
          </w:tcPr>
          <w:p w:rsidR="005D2DA7" w:rsidRPr="00AF5796" w:rsidRDefault="005D2DA7" w:rsidP="00007F6F">
            <w:pPr>
              <w:pStyle w:val="Tablehead"/>
              <w:rPr>
                <w:lang w:val="en-US" w:eastAsia="ja-JP"/>
              </w:rPr>
            </w:pPr>
            <w:r w:rsidRPr="00AF5796">
              <w:rPr>
                <w:lang w:val="en-US" w:eastAsia="ja-JP"/>
              </w:rPr>
              <w:t>2012</w:t>
            </w:r>
          </w:p>
        </w:tc>
        <w:tc>
          <w:tcPr>
            <w:tcW w:w="850" w:type="dxa"/>
          </w:tcPr>
          <w:p w:rsidR="005D2DA7" w:rsidRPr="00AF5796" w:rsidRDefault="005D2DA7" w:rsidP="00007F6F">
            <w:pPr>
              <w:pStyle w:val="Tablehead"/>
              <w:rPr>
                <w:lang w:val="en-US" w:eastAsia="ja-JP"/>
              </w:rPr>
            </w:pPr>
            <w:r w:rsidRPr="00AF5796">
              <w:rPr>
                <w:lang w:val="en-US" w:eastAsia="ja-JP"/>
              </w:rPr>
              <w:t>2013</w:t>
            </w:r>
          </w:p>
        </w:tc>
      </w:tr>
      <w:tr w:rsidR="005D2DA7" w:rsidRPr="00AF5796" w:rsidTr="00C91285">
        <w:trPr>
          <w:jc w:val="center"/>
        </w:trPr>
        <w:tc>
          <w:tcPr>
            <w:tcW w:w="5386" w:type="dxa"/>
          </w:tcPr>
          <w:p w:rsidR="005D2DA7" w:rsidRPr="00AF5796" w:rsidRDefault="005D2DA7" w:rsidP="00D513B3">
            <w:pPr>
              <w:pStyle w:val="Tabletext"/>
              <w:rPr>
                <w:lang w:val="en-US" w:eastAsia="ja-JP"/>
              </w:rPr>
            </w:pPr>
            <w:r w:rsidRPr="00AF5796">
              <w:rPr>
                <w:lang w:val="en-US" w:eastAsia="ja-JP"/>
              </w:rPr>
              <w:t>Non smartphone (</w:t>
            </w:r>
            <w:r w:rsidR="003173A1" w:rsidRPr="00AF5796">
              <w:rPr>
                <w:lang w:val="en-US" w:eastAsia="ja-JP"/>
              </w:rPr>
              <w:t xml:space="preserve">feature </w:t>
            </w:r>
            <w:r w:rsidRPr="00AF5796">
              <w:rPr>
                <w:lang w:val="en-US" w:eastAsia="ja-JP"/>
              </w:rPr>
              <w:t>phone)</w:t>
            </w:r>
          </w:p>
        </w:tc>
        <w:tc>
          <w:tcPr>
            <w:tcW w:w="850" w:type="dxa"/>
          </w:tcPr>
          <w:p w:rsidR="005D2DA7" w:rsidRPr="00AF5796" w:rsidRDefault="005D2DA7" w:rsidP="00D513B3">
            <w:pPr>
              <w:pStyle w:val="Tabletext"/>
              <w:jc w:val="right"/>
              <w:rPr>
                <w:lang w:val="en-US" w:eastAsia="ja-JP"/>
              </w:rPr>
            </w:pPr>
            <w:r w:rsidRPr="00AF5796">
              <w:rPr>
                <w:lang w:val="en-US" w:eastAsia="ja-JP"/>
              </w:rPr>
              <w:t>5 365</w:t>
            </w:r>
          </w:p>
        </w:tc>
        <w:tc>
          <w:tcPr>
            <w:tcW w:w="850" w:type="dxa"/>
          </w:tcPr>
          <w:p w:rsidR="005D2DA7" w:rsidRPr="00AF5796" w:rsidRDefault="005D2DA7" w:rsidP="00D513B3">
            <w:pPr>
              <w:pStyle w:val="Tabletext"/>
              <w:jc w:val="right"/>
              <w:rPr>
                <w:lang w:val="en-US" w:eastAsia="ja-JP"/>
              </w:rPr>
            </w:pPr>
            <w:r w:rsidRPr="00AF5796">
              <w:rPr>
                <w:lang w:val="en-US" w:eastAsia="ja-JP"/>
              </w:rPr>
              <w:t>5 276</w:t>
            </w:r>
          </w:p>
        </w:tc>
        <w:tc>
          <w:tcPr>
            <w:tcW w:w="850" w:type="dxa"/>
          </w:tcPr>
          <w:p w:rsidR="005D2DA7" w:rsidRPr="00AF5796" w:rsidRDefault="005D2DA7" w:rsidP="00D513B3">
            <w:pPr>
              <w:pStyle w:val="Tabletext"/>
              <w:jc w:val="right"/>
              <w:rPr>
                <w:lang w:val="en-US" w:eastAsia="ja-JP"/>
              </w:rPr>
            </w:pPr>
            <w:r w:rsidRPr="00AF5796">
              <w:rPr>
                <w:lang w:val="en-US" w:eastAsia="ja-JP"/>
              </w:rPr>
              <w:t>5 350</w:t>
            </w:r>
          </w:p>
        </w:tc>
        <w:tc>
          <w:tcPr>
            <w:tcW w:w="850" w:type="dxa"/>
          </w:tcPr>
          <w:p w:rsidR="005D2DA7" w:rsidRPr="00AF5796" w:rsidRDefault="005D2DA7" w:rsidP="00D513B3">
            <w:pPr>
              <w:pStyle w:val="Tabletext"/>
              <w:jc w:val="right"/>
              <w:rPr>
                <w:lang w:val="en-US" w:eastAsia="ja-JP"/>
              </w:rPr>
            </w:pPr>
            <w:r w:rsidRPr="00AF5796">
              <w:rPr>
                <w:lang w:val="en-US" w:eastAsia="ja-JP"/>
              </w:rPr>
              <w:t>5 528</w:t>
            </w:r>
          </w:p>
        </w:tc>
      </w:tr>
      <w:tr w:rsidR="005D2DA7" w:rsidRPr="00AF5796" w:rsidTr="00C91285">
        <w:trPr>
          <w:jc w:val="center"/>
        </w:trPr>
        <w:tc>
          <w:tcPr>
            <w:tcW w:w="5386" w:type="dxa"/>
          </w:tcPr>
          <w:p w:rsidR="005D2DA7" w:rsidRPr="00AF5796" w:rsidRDefault="005D2DA7" w:rsidP="00D513B3">
            <w:pPr>
              <w:pStyle w:val="Tabletext"/>
              <w:rPr>
                <w:lang w:val="en-US" w:eastAsia="ja-JP"/>
              </w:rPr>
            </w:pPr>
            <w:r w:rsidRPr="00AF5796">
              <w:rPr>
                <w:lang w:val="en-US" w:eastAsia="ja-JP"/>
              </w:rPr>
              <w:t>Smartphone</w:t>
            </w:r>
          </w:p>
        </w:tc>
        <w:tc>
          <w:tcPr>
            <w:tcW w:w="850" w:type="dxa"/>
          </w:tcPr>
          <w:p w:rsidR="005D2DA7" w:rsidRPr="00AF5796" w:rsidRDefault="005D2DA7" w:rsidP="00D513B3">
            <w:pPr>
              <w:pStyle w:val="Tabletext"/>
              <w:jc w:val="right"/>
              <w:rPr>
                <w:lang w:val="en-US" w:eastAsia="ja-JP"/>
              </w:rPr>
            </w:pPr>
            <w:r w:rsidRPr="00AF5796">
              <w:rPr>
                <w:lang w:val="en-US" w:eastAsia="ja-JP"/>
              </w:rPr>
              <w:t>645</w:t>
            </w:r>
          </w:p>
        </w:tc>
        <w:tc>
          <w:tcPr>
            <w:tcW w:w="850" w:type="dxa"/>
          </w:tcPr>
          <w:p w:rsidR="005D2DA7" w:rsidRPr="00AF5796" w:rsidRDefault="005D2DA7" w:rsidP="00D513B3">
            <w:pPr>
              <w:pStyle w:val="Tabletext"/>
              <w:jc w:val="right"/>
              <w:rPr>
                <w:lang w:val="en-US" w:eastAsia="ja-JP"/>
              </w:rPr>
            </w:pPr>
            <w:r w:rsidRPr="00AF5796">
              <w:rPr>
                <w:lang w:val="en-US" w:eastAsia="ja-JP"/>
              </w:rPr>
              <w:t>698</w:t>
            </w:r>
          </w:p>
        </w:tc>
        <w:tc>
          <w:tcPr>
            <w:tcW w:w="850" w:type="dxa"/>
          </w:tcPr>
          <w:p w:rsidR="005D2DA7" w:rsidRPr="00AF5796" w:rsidRDefault="005D2DA7" w:rsidP="00D513B3">
            <w:pPr>
              <w:pStyle w:val="Tabletext"/>
              <w:jc w:val="right"/>
              <w:rPr>
                <w:lang w:val="en-US" w:eastAsia="ja-JP"/>
              </w:rPr>
            </w:pPr>
            <w:r w:rsidRPr="00AF5796">
              <w:rPr>
                <w:lang w:val="en-US" w:eastAsia="ja-JP"/>
              </w:rPr>
              <w:t>1 177</w:t>
            </w:r>
          </w:p>
        </w:tc>
        <w:tc>
          <w:tcPr>
            <w:tcW w:w="850" w:type="dxa"/>
          </w:tcPr>
          <w:p w:rsidR="005D2DA7" w:rsidRPr="00AF5796" w:rsidRDefault="005D2DA7" w:rsidP="00D513B3">
            <w:pPr>
              <w:pStyle w:val="Tabletext"/>
              <w:jc w:val="right"/>
              <w:rPr>
                <w:lang w:val="en-US" w:eastAsia="ja-JP"/>
              </w:rPr>
            </w:pPr>
            <w:r w:rsidRPr="00AF5796">
              <w:rPr>
                <w:lang w:val="en-US" w:eastAsia="ja-JP"/>
              </w:rPr>
              <w:t>1 507</w:t>
            </w:r>
          </w:p>
        </w:tc>
      </w:tr>
      <w:tr w:rsidR="005D2DA7" w:rsidRPr="00AF5796" w:rsidTr="00C91285">
        <w:trPr>
          <w:jc w:val="center"/>
        </w:trPr>
        <w:tc>
          <w:tcPr>
            <w:tcW w:w="5386" w:type="dxa"/>
          </w:tcPr>
          <w:p w:rsidR="005D2DA7" w:rsidRPr="00AF5796" w:rsidRDefault="005D2DA7" w:rsidP="00D513B3">
            <w:pPr>
              <w:pStyle w:val="Tabletext"/>
              <w:rPr>
                <w:lang w:val="en-US" w:eastAsia="ja-JP"/>
              </w:rPr>
            </w:pPr>
            <w:r w:rsidRPr="00AF5796">
              <w:rPr>
                <w:lang w:val="en-US" w:eastAsia="ja-JP"/>
              </w:rPr>
              <w:t>Tablet and other smart devices</w:t>
            </w:r>
          </w:p>
        </w:tc>
        <w:tc>
          <w:tcPr>
            <w:tcW w:w="850" w:type="dxa"/>
          </w:tcPr>
          <w:p w:rsidR="005D2DA7" w:rsidRPr="00AF5796" w:rsidRDefault="005D2DA7" w:rsidP="00D513B3">
            <w:pPr>
              <w:pStyle w:val="Tabletext"/>
              <w:jc w:val="right"/>
              <w:rPr>
                <w:lang w:val="en-US" w:eastAsia="ja-JP"/>
              </w:rPr>
            </w:pPr>
            <w:r w:rsidRPr="00AF5796">
              <w:rPr>
                <w:lang w:val="en-US" w:eastAsia="ja-JP"/>
              </w:rPr>
              <w:t>144</w:t>
            </w:r>
          </w:p>
        </w:tc>
        <w:tc>
          <w:tcPr>
            <w:tcW w:w="850" w:type="dxa"/>
          </w:tcPr>
          <w:p w:rsidR="005D2DA7" w:rsidRPr="00AF5796" w:rsidRDefault="005D2DA7" w:rsidP="00D513B3">
            <w:pPr>
              <w:pStyle w:val="Tabletext"/>
              <w:jc w:val="right"/>
              <w:rPr>
                <w:lang w:val="en-US" w:eastAsia="ja-JP"/>
              </w:rPr>
            </w:pPr>
            <w:r w:rsidRPr="00AF5796">
              <w:rPr>
                <w:lang w:val="en-US" w:eastAsia="ja-JP"/>
              </w:rPr>
              <w:t>241</w:t>
            </w:r>
          </w:p>
        </w:tc>
        <w:tc>
          <w:tcPr>
            <w:tcW w:w="850" w:type="dxa"/>
          </w:tcPr>
          <w:p w:rsidR="005D2DA7" w:rsidRPr="00AF5796" w:rsidRDefault="005D2DA7" w:rsidP="00D513B3">
            <w:pPr>
              <w:pStyle w:val="Tabletext"/>
              <w:jc w:val="right"/>
              <w:rPr>
                <w:lang w:val="en-US" w:eastAsia="ja-JP"/>
              </w:rPr>
            </w:pPr>
            <w:r w:rsidRPr="00AF5796">
              <w:rPr>
                <w:lang w:val="en-US" w:eastAsia="ja-JP"/>
              </w:rPr>
              <w:t>267</w:t>
            </w:r>
          </w:p>
        </w:tc>
        <w:tc>
          <w:tcPr>
            <w:tcW w:w="850" w:type="dxa"/>
          </w:tcPr>
          <w:p w:rsidR="005D2DA7" w:rsidRPr="00AF5796" w:rsidRDefault="005D2DA7" w:rsidP="00D513B3">
            <w:pPr>
              <w:pStyle w:val="Tabletext"/>
              <w:jc w:val="right"/>
              <w:rPr>
                <w:lang w:val="en-US" w:eastAsia="ja-JP"/>
              </w:rPr>
            </w:pPr>
            <w:r w:rsidRPr="00AF5796">
              <w:rPr>
                <w:lang w:val="en-US" w:eastAsia="ja-JP"/>
              </w:rPr>
              <w:t>348</w:t>
            </w:r>
          </w:p>
        </w:tc>
      </w:tr>
    </w:tbl>
    <w:p w:rsidR="005D2DA7" w:rsidRPr="00AF5796" w:rsidRDefault="005D2DA7" w:rsidP="00007F6F">
      <w:pPr>
        <w:pStyle w:val="Tablefin"/>
        <w:rPr>
          <w:lang w:val="en-US" w:eastAsia="ja-JP"/>
        </w:rPr>
      </w:pPr>
    </w:p>
    <w:p w:rsidR="005D2DA7" w:rsidRPr="00AF5796" w:rsidRDefault="005D2DA7" w:rsidP="005D2DA7">
      <w:pPr>
        <w:rPr>
          <w:lang w:val="en-US"/>
        </w:rPr>
      </w:pPr>
      <w:r w:rsidRPr="00AF5796">
        <w:rPr>
          <w:lang w:val="en-US"/>
        </w:rPr>
        <w:t xml:space="preserve">Based on the estimation method described above, </w:t>
      </w:r>
      <w:r w:rsidR="00934A49" w:rsidRPr="00AF5796">
        <w:rPr>
          <w:lang w:val="en-US"/>
        </w:rPr>
        <w:t xml:space="preserve">Fig. </w:t>
      </w:r>
      <w:r w:rsidRPr="00AF5796">
        <w:rPr>
          <w:lang w:val="en-US"/>
        </w:rPr>
        <w:t>4 provides estimation of global mobile subscriptions with different categories from 2020 onwards.</w:t>
      </w:r>
    </w:p>
    <w:p w:rsidR="005D2DA7" w:rsidRPr="00AF5796" w:rsidRDefault="00007F6F" w:rsidP="00007F6F">
      <w:pPr>
        <w:pStyle w:val="FigureNo"/>
        <w:rPr>
          <w:lang w:val="en-US" w:eastAsia="ja-JP"/>
        </w:rPr>
      </w:pPr>
      <w:r w:rsidRPr="00AF5796">
        <w:rPr>
          <w:lang w:val="en-US" w:eastAsia="zh-CN"/>
        </w:rPr>
        <w:lastRenderedPageBreak/>
        <w:t xml:space="preserve">FIGURE </w:t>
      </w:r>
      <w:r w:rsidR="005D2DA7" w:rsidRPr="00AF5796">
        <w:rPr>
          <w:lang w:val="en-US" w:eastAsia="ja-JP"/>
        </w:rPr>
        <w:t>4</w:t>
      </w:r>
    </w:p>
    <w:p w:rsidR="005D2DA7" w:rsidRPr="00AF5796" w:rsidRDefault="005D2DA7" w:rsidP="005D2DA7">
      <w:pPr>
        <w:pStyle w:val="Figuretitle"/>
        <w:spacing w:after="240"/>
        <w:rPr>
          <w:lang w:val="en-US" w:eastAsia="zh-CN"/>
        </w:rPr>
      </w:pPr>
      <w:r w:rsidRPr="00AF5796">
        <w:rPr>
          <w:lang w:val="en-US" w:eastAsia="zh-CN"/>
        </w:rPr>
        <w:t>Estimation of global mobile subscriptions with different categories</w:t>
      </w:r>
    </w:p>
    <w:p w:rsidR="005D2DA7" w:rsidRPr="00AF5796" w:rsidRDefault="005D2DA7" w:rsidP="00007F6F">
      <w:pPr>
        <w:pStyle w:val="Figure"/>
        <w:rPr>
          <w:lang w:val="en-US" w:eastAsia="zh-CN"/>
        </w:rPr>
      </w:pPr>
      <w:r w:rsidRPr="00AF5796">
        <w:rPr>
          <w:noProof/>
          <w:lang w:val="en-US" w:eastAsia="zh-CN"/>
        </w:rPr>
        <w:drawing>
          <wp:inline distT="0" distB="0" distL="0" distR="0" wp14:anchorId="177C7FA6" wp14:editId="1E39C47F">
            <wp:extent cx="5494352" cy="2305879"/>
            <wp:effectExtent l="0" t="0" r="11430" b="18415"/>
            <wp:docPr id="8"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2DA7" w:rsidRPr="00AF5796" w:rsidRDefault="005D2DA7" w:rsidP="003173A1">
      <w:pPr>
        <w:rPr>
          <w:lang w:val="en-US" w:eastAsia="zh-CN"/>
        </w:rPr>
      </w:pPr>
      <w:r w:rsidRPr="00AF5796">
        <w:rPr>
          <w:lang w:val="en-US" w:eastAsia="zh-CN"/>
        </w:rPr>
        <w:t>With the development of mobile communications and electronic element technologies, better user experience and lower price of devices will accelerate the growth rate of penetration of tablets between 2020 and 2030. It is estimated that the number of global subscriptions of smartphone could be 10 billion in 2025 and 12 billion in 2030. The number of global subscriptions of tablets and other smart devices could be around 3 billion in 2025 and 5 billion in 2030. However, the number of non-smartphone (feature phone) subscriptions will decrease rapidly during the same period.</w:t>
      </w:r>
    </w:p>
    <w:p w:rsidR="005D2DA7" w:rsidRPr="00AF5796" w:rsidRDefault="005D2DA7" w:rsidP="00FC2EEF">
      <w:pPr>
        <w:pStyle w:val="Headingb"/>
        <w:rPr>
          <w:lang w:val="en-US" w:eastAsia="ja-JP"/>
        </w:rPr>
      </w:pPr>
      <w:r w:rsidRPr="00AF5796">
        <w:rPr>
          <w:lang w:val="en-US" w:eastAsia="ja-JP"/>
        </w:rPr>
        <w:t>Estimation of global M2M subscriptions</w:t>
      </w:r>
    </w:p>
    <w:p w:rsidR="005D2DA7" w:rsidRPr="00AF5796" w:rsidRDefault="005D2DA7" w:rsidP="005D2DA7">
      <w:pPr>
        <w:rPr>
          <w:i/>
          <w:szCs w:val="24"/>
          <w:u w:val="single"/>
          <w:lang w:val="en-US" w:eastAsia="zh-CN"/>
        </w:rPr>
      </w:pPr>
      <w:r w:rsidRPr="00AF5796">
        <w:rPr>
          <w:i/>
          <w:szCs w:val="24"/>
          <w:u w:val="single"/>
          <w:lang w:val="en-US"/>
        </w:rPr>
        <w:t>Estimation methods and procedures</w:t>
      </w:r>
    </w:p>
    <w:p w:rsidR="005D2DA7" w:rsidRPr="00AF5796" w:rsidRDefault="005D2DA7" w:rsidP="005D2DA7">
      <w:pPr>
        <w:rPr>
          <w:lang w:val="en-US"/>
        </w:rPr>
      </w:pPr>
      <w:r w:rsidRPr="00AF5796">
        <w:rPr>
          <w:lang w:val="en-US"/>
        </w:rPr>
        <w:t>Estimation methods used were based on the following steps:</w:t>
      </w:r>
    </w:p>
    <w:p w:rsidR="005D2DA7" w:rsidRPr="00AF5796" w:rsidRDefault="005D2DA7" w:rsidP="005D2DA7">
      <w:pPr>
        <w:pStyle w:val="enumlev1"/>
        <w:ind w:hanging="708"/>
        <w:rPr>
          <w:rFonts w:eastAsia="MS Mincho"/>
          <w:lang w:val="en-US"/>
        </w:rPr>
      </w:pPr>
      <w:r w:rsidRPr="00AF5796">
        <w:rPr>
          <w:rFonts w:eastAsia="MS Mincho"/>
          <w:lang w:val="en-US"/>
        </w:rPr>
        <w:t>a)</w:t>
      </w:r>
      <w:r w:rsidRPr="00AF5796">
        <w:rPr>
          <w:rFonts w:eastAsia="MS Mincho"/>
          <w:lang w:val="en-US"/>
        </w:rPr>
        <w:tab/>
        <w:t>Statistical data collection on global population, M2M connections and penetration ratio,</w:t>
      </w:r>
    </w:p>
    <w:p w:rsidR="005D2DA7" w:rsidRPr="00AF5796" w:rsidRDefault="005D2DA7" w:rsidP="005D2DA7">
      <w:pPr>
        <w:pStyle w:val="enumlev1"/>
        <w:ind w:hanging="708"/>
        <w:rPr>
          <w:rFonts w:eastAsia="MS Mincho"/>
          <w:lang w:val="en-US"/>
        </w:rPr>
      </w:pPr>
      <w:r w:rsidRPr="00AF5796">
        <w:rPr>
          <w:rFonts w:eastAsia="MS Mincho"/>
          <w:lang w:val="en-US"/>
        </w:rPr>
        <w:t>b)</w:t>
      </w:r>
      <w:r w:rsidRPr="00AF5796">
        <w:rPr>
          <w:rFonts w:eastAsia="MS Mincho"/>
          <w:lang w:val="en-US"/>
        </w:rPr>
        <w:tab/>
        <w:t>Estimate the increase of global population,</w:t>
      </w:r>
    </w:p>
    <w:p w:rsidR="005D2DA7" w:rsidRPr="00AF5796" w:rsidRDefault="005D2DA7" w:rsidP="005D2DA7">
      <w:pPr>
        <w:pStyle w:val="enumlev1"/>
        <w:ind w:hanging="708"/>
        <w:rPr>
          <w:rFonts w:eastAsia="MS Mincho"/>
          <w:lang w:val="en-US"/>
        </w:rPr>
      </w:pPr>
      <w:r w:rsidRPr="00AF5796">
        <w:rPr>
          <w:rFonts w:eastAsia="MS Mincho"/>
          <w:lang w:val="en-US"/>
        </w:rPr>
        <w:t>c)</w:t>
      </w:r>
      <w:r w:rsidRPr="00AF5796">
        <w:rPr>
          <w:rFonts w:eastAsia="MS Mincho"/>
          <w:lang w:val="en-US"/>
        </w:rPr>
        <w:tab/>
        <w:t>Estimate the penetration ratio of global M2M connections to global population through</w:t>
      </w:r>
      <w:r w:rsidRPr="00AF5796">
        <w:rPr>
          <w:rFonts w:eastAsia="MS Mincho"/>
          <w:lang w:val="en-US"/>
        </w:rPr>
        <w:br/>
        <w:t>S-curve (see Annex 1),</w:t>
      </w:r>
    </w:p>
    <w:p w:rsidR="003173A1" w:rsidRPr="00AF5796" w:rsidRDefault="005D2DA7" w:rsidP="003173A1">
      <w:pPr>
        <w:pStyle w:val="enumlev1"/>
        <w:ind w:hanging="708"/>
        <w:rPr>
          <w:rFonts w:eastAsia="MS Mincho"/>
          <w:lang w:val="en-US"/>
        </w:rPr>
      </w:pPr>
      <w:r w:rsidRPr="00AF5796">
        <w:rPr>
          <w:rFonts w:eastAsia="MS Mincho"/>
          <w:lang w:val="en-US"/>
        </w:rPr>
        <w:t>d)</w:t>
      </w:r>
      <w:r w:rsidRPr="00AF5796">
        <w:rPr>
          <w:rFonts w:eastAsia="MS Mincho"/>
          <w:lang w:val="en-US"/>
        </w:rPr>
        <w:tab/>
        <w:t xml:space="preserve">Calculation </w:t>
      </w:r>
      <w:r w:rsidR="003173A1" w:rsidRPr="00AF5796">
        <w:rPr>
          <w:rFonts w:eastAsia="MS Mincho"/>
          <w:lang w:val="en-US"/>
        </w:rPr>
        <w:t xml:space="preserve">of </w:t>
      </w:r>
      <w:r w:rsidRPr="00AF5796">
        <w:rPr>
          <w:rFonts w:eastAsia="MS Mincho"/>
          <w:lang w:val="en-US"/>
        </w:rPr>
        <w:t>the number of M2M connections by global population and the penetration</w:t>
      </w:r>
      <w:r w:rsidRPr="00AF5796">
        <w:rPr>
          <w:rFonts w:eastAsia="MS Mincho"/>
          <w:lang w:val="en-US"/>
        </w:rPr>
        <w:br/>
        <w:t xml:space="preserve"> ratio of global M2M connections.</w:t>
      </w:r>
    </w:p>
    <w:p w:rsidR="005D2DA7" w:rsidRPr="00AF5796" w:rsidRDefault="005D2DA7" w:rsidP="003173A1">
      <w:pPr>
        <w:rPr>
          <w:rFonts w:eastAsia="MS Mincho"/>
          <w:i/>
          <w:iCs/>
          <w:u w:val="single"/>
          <w:lang w:val="en-US"/>
        </w:rPr>
      </w:pPr>
      <w:r w:rsidRPr="00AF5796">
        <w:rPr>
          <w:i/>
          <w:iCs/>
          <w:u w:val="single"/>
          <w:lang w:val="en-US"/>
        </w:rPr>
        <w:t>Estimation models and parameters</w:t>
      </w:r>
    </w:p>
    <w:p w:rsidR="005D2DA7" w:rsidRPr="00AF5796" w:rsidRDefault="005D2DA7" w:rsidP="005D2DA7">
      <w:pPr>
        <w:rPr>
          <w:lang w:val="en-US"/>
        </w:rPr>
      </w:pPr>
      <w:r w:rsidRPr="00AF5796">
        <w:rPr>
          <w:lang w:val="en-US"/>
        </w:rPr>
        <w:t>Global M2M subscriptions were base</w:t>
      </w:r>
      <w:r w:rsidR="003173A1" w:rsidRPr="00AF5796">
        <w:rPr>
          <w:lang w:val="en-US"/>
        </w:rPr>
        <w:t>d on S-Curve method to estimate</w:t>
      </w:r>
      <w:r w:rsidRPr="00AF5796">
        <w:rPr>
          <w:lang w:val="en-US"/>
        </w:rPr>
        <w:t xml:space="preserve"> the penetration ratio of global M2M subscriptions to global population until year 2030 as depicted in </w:t>
      </w:r>
      <w:r w:rsidR="00934A49" w:rsidRPr="00AF5796">
        <w:rPr>
          <w:lang w:val="en-US"/>
        </w:rPr>
        <w:t xml:space="preserve">Fig. </w:t>
      </w:r>
      <w:r w:rsidRPr="00AF5796">
        <w:rPr>
          <w:lang w:val="en-US" w:eastAsia="ja-JP"/>
        </w:rPr>
        <w:t>5</w:t>
      </w:r>
      <w:r w:rsidRPr="00AF5796">
        <w:rPr>
          <w:lang w:val="en-US"/>
        </w:rPr>
        <w:t xml:space="preserve">. Such penetration ratio is 0.03 in year 2010. One assumption is that the most rapidly development period of M2M industry and terminals will be around year 2020, and this industry will become saturated no earlier than 2030. </w:t>
      </w:r>
    </w:p>
    <w:p w:rsidR="005D2DA7" w:rsidRPr="00AF5796" w:rsidRDefault="005D2DA7" w:rsidP="005D2DA7">
      <w:pPr>
        <w:pStyle w:val="FigureNo"/>
        <w:spacing w:before="240"/>
        <w:rPr>
          <w:lang w:val="en-US" w:eastAsia="ja-JP"/>
        </w:rPr>
      </w:pPr>
      <w:r w:rsidRPr="00AF5796">
        <w:rPr>
          <w:lang w:val="en-US" w:eastAsia="zh-CN"/>
        </w:rPr>
        <w:lastRenderedPageBreak/>
        <w:t xml:space="preserve">Figure </w:t>
      </w:r>
      <w:r w:rsidRPr="00AF5796">
        <w:rPr>
          <w:lang w:val="en-US" w:eastAsia="ja-JP"/>
        </w:rPr>
        <w:t>5</w:t>
      </w:r>
    </w:p>
    <w:p w:rsidR="005D2DA7" w:rsidRPr="00AF5796" w:rsidRDefault="005D2DA7" w:rsidP="005D2DA7">
      <w:pPr>
        <w:pStyle w:val="Figuretitle"/>
        <w:spacing w:after="0"/>
        <w:rPr>
          <w:lang w:val="en-US" w:eastAsia="zh-CN"/>
        </w:rPr>
      </w:pPr>
      <w:r w:rsidRPr="00AF5796">
        <w:rPr>
          <w:lang w:val="en-US" w:eastAsia="zh-CN"/>
        </w:rPr>
        <w:t>Estimation of global M2M subscriptions</w:t>
      </w:r>
    </w:p>
    <w:p w:rsidR="005D2DA7" w:rsidRPr="00AF5796" w:rsidRDefault="005D2DA7" w:rsidP="003173A1">
      <w:pPr>
        <w:pStyle w:val="Figure"/>
        <w:rPr>
          <w:lang w:val="en-US"/>
        </w:rPr>
      </w:pPr>
      <w:r w:rsidRPr="00AF5796">
        <w:rPr>
          <w:noProof/>
          <w:lang w:val="en-US" w:eastAsia="zh-CN"/>
        </w:rPr>
        <w:drawing>
          <wp:inline distT="0" distB="0" distL="0" distR="0" wp14:anchorId="2933F0AA" wp14:editId="48A469E5">
            <wp:extent cx="5287061" cy="2735885"/>
            <wp:effectExtent l="19050" t="0" r="27889" b="7315"/>
            <wp:docPr id="6"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2DA7" w:rsidRPr="00AF5796" w:rsidRDefault="005D2DA7" w:rsidP="005D2DA7">
      <w:pPr>
        <w:spacing w:before="0"/>
        <w:rPr>
          <w:lang w:val="en-US"/>
        </w:rPr>
      </w:pPr>
      <w:r w:rsidRPr="00AF5796">
        <w:rPr>
          <w:lang w:val="en-US"/>
        </w:rPr>
        <w:t>The estimated result of global population comes from the estimation report of UN</w:t>
      </w:r>
      <w:r w:rsidRPr="00AF5796">
        <w:rPr>
          <w:vertAlign w:val="superscript"/>
          <w:lang w:val="en-US"/>
        </w:rPr>
        <w:footnoteReference w:id="18"/>
      </w:r>
      <w:r w:rsidR="00DE5E1D">
        <w:rPr>
          <w:lang w:val="en-US"/>
        </w:rPr>
        <w:t xml:space="preserve">. </w:t>
      </w:r>
      <w:r w:rsidRPr="00AF5796">
        <w:rPr>
          <w:lang w:val="en-US"/>
        </w:rPr>
        <w:t>Moreover, this estimate of M2M connections was based on the statistical information of M2M subscriptions as depicted in Table 7 below.</w:t>
      </w:r>
    </w:p>
    <w:p w:rsidR="005D2DA7" w:rsidRPr="00AF5796" w:rsidRDefault="005D2DA7" w:rsidP="005D2DA7">
      <w:pPr>
        <w:pStyle w:val="TableNo"/>
        <w:rPr>
          <w:lang w:val="en-US" w:eastAsia="ja-JP"/>
        </w:rPr>
      </w:pPr>
      <w:r w:rsidRPr="00AF5796">
        <w:rPr>
          <w:lang w:val="en-US" w:eastAsia="zh-CN"/>
        </w:rPr>
        <w:t xml:space="preserve">TABLE </w:t>
      </w:r>
      <w:r w:rsidRPr="00AF5796">
        <w:rPr>
          <w:lang w:val="en-US" w:eastAsia="ja-JP"/>
        </w:rPr>
        <w:t>7</w:t>
      </w:r>
    </w:p>
    <w:p w:rsidR="005D2DA7" w:rsidRPr="00AF5796" w:rsidRDefault="005D2DA7" w:rsidP="005D2DA7">
      <w:pPr>
        <w:pStyle w:val="Tabletitle"/>
        <w:rPr>
          <w:lang w:val="en-US" w:eastAsia="ja-JP"/>
        </w:rPr>
      </w:pPr>
      <w:r w:rsidRPr="00AF5796">
        <w:rPr>
          <w:lang w:val="en-US" w:eastAsia="ja-JP"/>
        </w:rPr>
        <w:t>Statistical information of global M2M subscriptions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1387"/>
        <w:gridCol w:w="1387"/>
        <w:gridCol w:w="1387"/>
        <w:gridCol w:w="1387"/>
      </w:tblGrid>
      <w:tr w:rsidR="005D2DA7" w:rsidRPr="00AF5796" w:rsidTr="00C91285">
        <w:trPr>
          <w:jc w:val="center"/>
        </w:trPr>
        <w:tc>
          <w:tcPr>
            <w:tcW w:w="3345" w:type="dxa"/>
          </w:tcPr>
          <w:p w:rsidR="005D2DA7" w:rsidRPr="00AF5796" w:rsidRDefault="005D2DA7" w:rsidP="00383661">
            <w:pPr>
              <w:pStyle w:val="Tablehead"/>
              <w:rPr>
                <w:lang w:val="en-US" w:eastAsia="ja-JP"/>
              </w:rPr>
            </w:pPr>
            <w:r w:rsidRPr="00AF5796">
              <w:rPr>
                <w:lang w:val="en-US" w:eastAsia="ja-JP"/>
              </w:rPr>
              <w:t>Years</w:t>
            </w:r>
          </w:p>
        </w:tc>
        <w:tc>
          <w:tcPr>
            <w:tcW w:w="1134" w:type="dxa"/>
          </w:tcPr>
          <w:p w:rsidR="005D2DA7" w:rsidRPr="00AF5796" w:rsidRDefault="005D2DA7" w:rsidP="00383661">
            <w:pPr>
              <w:pStyle w:val="Tablehead"/>
              <w:rPr>
                <w:lang w:val="en-US" w:eastAsia="ja-JP"/>
              </w:rPr>
            </w:pPr>
            <w:r w:rsidRPr="00AF5796">
              <w:rPr>
                <w:lang w:val="en-US" w:eastAsia="ja-JP"/>
              </w:rPr>
              <w:t>2010</w:t>
            </w:r>
          </w:p>
        </w:tc>
        <w:tc>
          <w:tcPr>
            <w:tcW w:w="1134" w:type="dxa"/>
          </w:tcPr>
          <w:p w:rsidR="005D2DA7" w:rsidRPr="00AF5796" w:rsidRDefault="005D2DA7" w:rsidP="00383661">
            <w:pPr>
              <w:pStyle w:val="Tablehead"/>
              <w:rPr>
                <w:lang w:val="en-US" w:eastAsia="ja-JP"/>
              </w:rPr>
            </w:pPr>
            <w:r w:rsidRPr="00AF5796">
              <w:rPr>
                <w:lang w:val="en-US" w:eastAsia="ja-JP"/>
              </w:rPr>
              <w:t>2011</w:t>
            </w:r>
          </w:p>
        </w:tc>
        <w:tc>
          <w:tcPr>
            <w:tcW w:w="1134" w:type="dxa"/>
          </w:tcPr>
          <w:p w:rsidR="005D2DA7" w:rsidRPr="00AF5796" w:rsidRDefault="005D2DA7" w:rsidP="00383661">
            <w:pPr>
              <w:pStyle w:val="Tablehead"/>
              <w:rPr>
                <w:lang w:val="en-US" w:eastAsia="ja-JP"/>
              </w:rPr>
            </w:pPr>
            <w:r w:rsidRPr="00AF5796">
              <w:rPr>
                <w:lang w:val="en-US" w:eastAsia="ja-JP"/>
              </w:rPr>
              <w:t>2012</w:t>
            </w:r>
          </w:p>
        </w:tc>
        <w:tc>
          <w:tcPr>
            <w:tcW w:w="1134" w:type="dxa"/>
          </w:tcPr>
          <w:p w:rsidR="005D2DA7" w:rsidRPr="00AF5796" w:rsidRDefault="005D2DA7" w:rsidP="00383661">
            <w:pPr>
              <w:pStyle w:val="Tablehead"/>
              <w:rPr>
                <w:lang w:val="en-US" w:eastAsia="ja-JP"/>
              </w:rPr>
            </w:pPr>
            <w:r w:rsidRPr="00AF5796">
              <w:rPr>
                <w:lang w:val="en-US" w:eastAsia="ja-JP"/>
              </w:rPr>
              <w:t>2013</w:t>
            </w:r>
          </w:p>
        </w:tc>
      </w:tr>
      <w:tr w:rsidR="005D2DA7" w:rsidRPr="00AF5796" w:rsidTr="00C91285">
        <w:trPr>
          <w:jc w:val="center"/>
        </w:trPr>
        <w:tc>
          <w:tcPr>
            <w:tcW w:w="3345" w:type="dxa"/>
          </w:tcPr>
          <w:p w:rsidR="005D2DA7" w:rsidRPr="00AF5796" w:rsidRDefault="005D2DA7" w:rsidP="00D513B3">
            <w:pPr>
              <w:pStyle w:val="Tabletext"/>
              <w:jc w:val="center"/>
              <w:rPr>
                <w:lang w:val="en-US" w:eastAsia="ja-JP"/>
              </w:rPr>
            </w:pPr>
            <w:r w:rsidRPr="00AF5796">
              <w:rPr>
                <w:lang w:val="en-US" w:eastAsia="ja-JP"/>
              </w:rPr>
              <w:t>Global M2M subscriptions (Million)</w:t>
            </w:r>
          </w:p>
        </w:tc>
        <w:tc>
          <w:tcPr>
            <w:tcW w:w="1134" w:type="dxa"/>
          </w:tcPr>
          <w:p w:rsidR="005D2DA7" w:rsidRPr="00AF5796" w:rsidRDefault="005D2DA7" w:rsidP="00D513B3">
            <w:pPr>
              <w:pStyle w:val="Tabletext"/>
              <w:jc w:val="center"/>
              <w:rPr>
                <w:lang w:val="en-US" w:eastAsia="ja-JP"/>
              </w:rPr>
            </w:pPr>
            <w:r w:rsidRPr="00AF5796">
              <w:rPr>
                <w:lang w:val="en-US" w:eastAsia="ja-JP"/>
              </w:rPr>
              <w:t>213</w:t>
            </w:r>
          </w:p>
        </w:tc>
        <w:tc>
          <w:tcPr>
            <w:tcW w:w="1134" w:type="dxa"/>
          </w:tcPr>
          <w:p w:rsidR="005D2DA7" w:rsidRPr="00AF5796" w:rsidRDefault="005D2DA7" w:rsidP="00D513B3">
            <w:pPr>
              <w:pStyle w:val="Tabletext"/>
              <w:jc w:val="center"/>
              <w:rPr>
                <w:lang w:val="en-US" w:eastAsia="ja-JP"/>
              </w:rPr>
            </w:pPr>
            <w:r w:rsidRPr="00AF5796">
              <w:rPr>
                <w:lang w:val="en-US" w:eastAsia="ja-JP"/>
              </w:rPr>
              <w:t>324</w:t>
            </w:r>
          </w:p>
        </w:tc>
        <w:tc>
          <w:tcPr>
            <w:tcW w:w="1134" w:type="dxa"/>
          </w:tcPr>
          <w:p w:rsidR="005D2DA7" w:rsidRPr="00AF5796" w:rsidRDefault="005D2DA7" w:rsidP="00D513B3">
            <w:pPr>
              <w:pStyle w:val="Tabletext"/>
              <w:jc w:val="center"/>
              <w:rPr>
                <w:lang w:val="en-US" w:eastAsia="ja-JP"/>
              </w:rPr>
            </w:pPr>
            <w:r w:rsidRPr="00AF5796">
              <w:rPr>
                <w:lang w:val="en-US" w:eastAsia="ja-JP"/>
              </w:rPr>
              <w:t>376</w:t>
            </w:r>
          </w:p>
        </w:tc>
        <w:tc>
          <w:tcPr>
            <w:tcW w:w="1134" w:type="dxa"/>
          </w:tcPr>
          <w:p w:rsidR="005D2DA7" w:rsidRPr="00AF5796" w:rsidRDefault="005D2DA7" w:rsidP="00D513B3">
            <w:pPr>
              <w:pStyle w:val="Tabletext"/>
              <w:jc w:val="center"/>
              <w:rPr>
                <w:lang w:val="en-US" w:eastAsia="ja-JP"/>
              </w:rPr>
            </w:pPr>
            <w:r w:rsidRPr="00AF5796">
              <w:rPr>
                <w:lang w:val="en-US" w:eastAsia="ja-JP"/>
              </w:rPr>
              <w:t>422</w:t>
            </w:r>
          </w:p>
        </w:tc>
      </w:tr>
    </w:tbl>
    <w:p w:rsidR="005D2DA7" w:rsidRPr="00AF5796" w:rsidRDefault="005D2DA7" w:rsidP="006529DF">
      <w:pPr>
        <w:pStyle w:val="Tablefin"/>
        <w:rPr>
          <w:lang w:val="en-US" w:eastAsia="zh-CN"/>
        </w:rPr>
      </w:pPr>
    </w:p>
    <w:p w:rsidR="005D2DA7" w:rsidRPr="00AF5796" w:rsidRDefault="005D2DA7" w:rsidP="005D2DA7">
      <w:pPr>
        <w:spacing w:before="0" w:after="240"/>
        <w:rPr>
          <w:lang w:val="en-US" w:eastAsia="ja-JP"/>
        </w:rPr>
      </w:pPr>
      <w:r w:rsidRPr="00AF5796">
        <w:rPr>
          <w:lang w:val="en-US" w:eastAsia="zh-CN"/>
        </w:rPr>
        <w:t>Based upon</w:t>
      </w:r>
      <w:r w:rsidRPr="00AF5796">
        <w:rPr>
          <w:lang w:val="en-US" w:eastAsia="ja-JP"/>
        </w:rPr>
        <w:t xml:space="preserve"> </w:t>
      </w:r>
      <w:r w:rsidR="00934A49" w:rsidRPr="00AF5796">
        <w:rPr>
          <w:lang w:val="en-US" w:eastAsia="ja-JP"/>
        </w:rPr>
        <w:t xml:space="preserve">Fig. </w:t>
      </w:r>
      <w:r w:rsidRPr="00AF5796">
        <w:rPr>
          <w:lang w:val="en-US" w:eastAsia="ja-JP"/>
        </w:rPr>
        <w:t>5</w:t>
      </w:r>
      <w:r w:rsidRPr="00AF5796">
        <w:rPr>
          <w:lang w:val="en-US" w:eastAsia="zh-CN"/>
        </w:rPr>
        <w:t xml:space="preserve">, the market of M2M is expected to grow between year 2020 and 2030. It is estimated that the number of mobile connected M2M devices will be around 7 billion in 2020, which is almost equivalent to the global population in January 2015. By 2030, this number could reach 97 billion, which would be more </w:t>
      </w:r>
      <w:r w:rsidR="00992CB1" w:rsidRPr="00AF5796">
        <w:rPr>
          <w:lang w:val="en-US" w:eastAsia="zh-CN"/>
        </w:rPr>
        <w:t>than</w:t>
      </w:r>
      <w:r w:rsidRPr="00AF5796">
        <w:rPr>
          <w:lang w:val="en-US" w:eastAsia="zh-CN"/>
        </w:rPr>
        <w:t xml:space="preserve"> ten times the estimated human population at that time</w:t>
      </w:r>
      <w:r w:rsidRPr="00AF5796">
        <w:rPr>
          <w:lang w:val="en-US" w:eastAsia="ja-JP"/>
        </w:rPr>
        <w:t>.</w:t>
      </w:r>
    </w:p>
    <w:p w:rsidR="005D2DA7" w:rsidRPr="00AF5796" w:rsidRDefault="005D2DA7" w:rsidP="005D2DA7">
      <w:pPr>
        <w:pStyle w:val="Heading3"/>
        <w:rPr>
          <w:lang w:val="en-US" w:eastAsia="ja-JP"/>
        </w:rPr>
      </w:pPr>
      <w:r w:rsidRPr="00AF5796">
        <w:rPr>
          <w:lang w:val="en-US" w:eastAsia="ja-JP"/>
        </w:rPr>
        <w:t>4.2.2</w:t>
      </w:r>
      <w:r w:rsidRPr="00AF5796">
        <w:rPr>
          <w:lang w:val="en-US"/>
        </w:rPr>
        <w:tab/>
        <w:t>Estimation 2</w:t>
      </w:r>
      <w:r w:rsidRPr="00AF5796">
        <w:rPr>
          <w:rStyle w:val="FootnoteReference"/>
          <w:b w:val="0"/>
          <w:lang w:val="en-US"/>
        </w:rPr>
        <w:footnoteReference w:id="19"/>
      </w:r>
    </w:p>
    <w:p w:rsidR="00082FB2" w:rsidRPr="00AF5796" w:rsidRDefault="005D2DA7" w:rsidP="00082FB2">
      <w:pPr>
        <w:rPr>
          <w:lang w:val="en-US"/>
        </w:rPr>
      </w:pPr>
      <w:r w:rsidRPr="00AF5796">
        <w:rPr>
          <w:lang w:val="en-US"/>
        </w:rPr>
        <w:t xml:space="preserve">In </w:t>
      </w:r>
      <w:r w:rsidRPr="00AF5796">
        <w:rPr>
          <w:lang w:val="en-US" w:eastAsia="ja-JP"/>
        </w:rPr>
        <w:t xml:space="preserve">the </w:t>
      </w:r>
      <w:r w:rsidRPr="00AF5796">
        <w:rPr>
          <w:lang w:val="en-US"/>
        </w:rPr>
        <w:t>future, advanced connectivity will provide new ways of innovating, collaborating and socializing. However, already today, more than 60% of the global population has access to mobile communications, and in a few years from now more than 90% of the population will benefit from IMT-based mobile broadband coverage. The mobile broadband traffic will be dominated by video content carried by smartphone</w:t>
      </w:r>
      <w:r w:rsidRPr="00AF5796">
        <w:rPr>
          <w:lang w:val="en-US" w:eastAsia="ja-JP"/>
        </w:rPr>
        <w:t>s</w:t>
      </w:r>
      <w:r w:rsidRPr="00AF5796">
        <w:rPr>
          <w:lang w:val="en-US"/>
        </w:rPr>
        <w:t xml:space="preserve"> and other devices. As the time-frame for estimations extends further into the future, it becomes increasingly challenging to forecast future subscriptions and mobile traffic growth accurately. Consequently, by portraying scenarios, some discussion points (or assumptions) are included to address the various aspects of the estimates.</w:t>
      </w:r>
    </w:p>
    <w:p w:rsidR="005D2DA7" w:rsidRPr="00AF5796" w:rsidRDefault="005D2DA7" w:rsidP="00082FB2">
      <w:pPr>
        <w:rPr>
          <w:lang w:val="en-US"/>
        </w:rPr>
      </w:pPr>
      <w:r w:rsidRPr="00AF5796">
        <w:rPr>
          <w:lang w:val="en-US"/>
        </w:rPr>
        <w:t xml:space="preserve">As shown in </w:t>
      </w:r>
      <w:r w:rsidR="00934A49" w:rsidRPr="00AF5796">
        <w:rPr>
          <w:lang w:val="en-US"/>
        </w:rPr>
        <w:t xml:space="preserve">Fig. </w:t>
      </w:r>
      <w:r w:rsidRPr="00AF5796">
        <w:rPr>
          <w:lang w:val="en-US"/>
        </w:rPr>
        <w:t>6, there are three scenario</w:t>
      </w:r>
      <w:r w:rsidR="00082FB2" w:rsidRPr="00AF5796">
        <w:rPr>
          <w:lang w:val="en-US"/>
        </w:rPr>
        <w:t>s of growth that can be assumed</w:t>
      </w:r>
      <w:r w:rsidRPr="00AF5796">
        <w:rPr>
          <w:lang w:val="en-US"/>
        </w:rPr>
        <w:t xml:space="preserve"> – one which is conservative (“flat”), the second which is growth-accentuated (“high”) and the third which includes </w:t>
      </w:r>
      <w:r w:rsidRPr="00AF5796">
        <w:rPr>
          <w:lang w:val="en-US"/>
        </w:rPr>
        <w:lastRenderedPageBreak/>
        <w:t>assumptions of strong contributions from machine-to-machine (M2M) communication, and also the integration of road-side and vehicular-to-vehicular communication, but most of all a strong impact of the intro</w:t>
      </w:r>
      <w:r w:rsidR="00DE5E1D">
        <w:rPr>
          <w:lang w:val="en-US"/>
        </w:rPr>
        <w:t xml:space="preserve">duction of devices containing future IMT (IMT-2020) </w:t>
      </w:r>
      <w:r w:rsidRPr="00AF5796">
        <w:rPr>
          <w:lang w:val="en-US"/>
        </w:rPr>
        <w:t xml:space="preserve">capabilities suggesting that all devices that need to communicate will communicate (“very high”). Under these conditions, the number of global subscriptions could be of the order of 10 billion, 15 billion or 20 billion around the year 2025 (shown on the right hand side of </w:t>
      </w:r>
      <w:r w:rsidR="00934A49" w:rsidRPr="00AF5796">
        <w:rPr>
          <w:lang w:val="en-US"/>
        </w:rPr>
        <w:t xml:space="preserve">Fig. </w:t>
      </w:r>
      <w:r w:rsidRPr="00AF5796">
        <w:rPr>
          <w:lang w:val="en-US"/>
        </w:rPr>
        <w:t>6).</w:t>
      </w:r>
    </w:p>
    <w:p w:rsidR="005D2DA7" w:rsidRPr="00AF5796" w:rsidRDefault="005D2DA7" w:rsidP="005D2DA7">
      <w:pPr>
        <w:pStyle w:val="FigureNo"/>
        <w:spacing w:before="600" w:after="240"/>
        <w:rPr>
          <w:lang w:val="en-US" w:eastAsia="ja-JP"/>
        </w:rPr>
      </w:pPr>
      <w:r w:rsidRPr="00AF5796">
        <w:rPr>
          <w:lang w:val="en-US"/>
        </w:rPr>
        <w:t xml:space="preserve">Figure </w:t>
      </w:r>
      <w:r w:rsidRPr="00AF5796">
        <w:rPr>
          <w:noProof/>
          <w:lang w:val="en-US" w:eastAsia="ja-JP"/>
        </w:rPr>
        <w:t>6</w:t>
      </w:r>
    </w:p>
    <w:p w:rsidR="005D2DA7" w:rsidRPr="00AF5796" w:rsidRDefault="005D2DA7" w:rsidP="005D2DA7">
      <w:pPr>
        <w:pStyle w:val="Figuretitle"/>
        <w:rPr>
          <w:lang w:val="en-US" w:eastAsia="ja-JP"/>
        </w:rPr>
      </w:pPr>
      <w:r w:rsidRPr="00AF5796">
        <w:rPr>
          <w:lang w:val="en-US"/>
        </w:rPr>
        <w:t xml:space="preserve">Estimations of global </w:t>
      </w:r>
      <w:r w:rsidRPr="00AF5796">
        <w:rPr>
          <w:lang w:val="en-US" w:eastAsia="ja-JP"/>
        </w:rPr>
        <w:t xml:space="preserve">mobile </w:t>
      </w:r>
      <w:r w:rsidRPr="00AF5796">
        <w:rPr>
          <w:lang w:val="en-US"/>
        </w:rPr>
        <w:t xml:space="preserve">subscriptions </w:t>
      </w:r>
      <w:r w:rsidRPr="00AF5796">
        <w:rPr>
          <w:lang w:val="en-US" w:eastAsia="ja-JP"/>
        </w:rPr>
        <w:t>(</w:t>
      </w:r>
      <w:r w:rsidRPr="00AF5796">
        <w:rPr>
          <w:lang w:val="en-US"/>
        </w:rPr>
        <w:t>2020</w:t>
      </w:r>
      <w:r w:rsidRPr="00AF5796">
        <w:rPr>
          <w:lang w:val="en-US" w:eastAsia="ja-JP"/>
        </w:rPr>
        <w:t>-2025)</w:t>
      </w:r>
    </w:p>
    <w:p w:rsidR="005D2DA7" w:rsidRPr="00AF5796" w:rsidRDefault="005D2DA7" w:rsidP="00BE3007">
      <w:pPr>
        <w:pStyle w:val="Figure"/>
        <w:rPr>
          <w:lang w:val="en-US"/>
        </w:rPr>
      </w:pPr>
      <w:r w:rsidRPr="00AF5796">
        <w:rPr>
          <w:rFonts w:eastAsia="MS Mincho"/>
          <w:b/>
          <w:noProof/>
          <w:lang w:val="en-US" w:eastAsia="zh-CN"/>
        </w:rPr>
        <w:drawing>
          <wp:inline distT="0" distB="0" distL="0" distR="0" wp14:anchorId="667F629C" wp14:editId="3FF6F481">
            <wp:extent cx="5742430" cy="3613708"/>
            <wp:effectExtent l="0" t="0" r="0" b="0"/>
            <wp:docPr id="2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451" cy="3618126"/>
                    </a:xfrm>
                    <a:prstGeom prst="rect">
                      <a:avLst/>
                    </a:prstGeom>
                    <a:noFill/>
                    <a:ln>
                      <a:noFill/>
                    </a:ln>
                  </pic:spPr>
                </pic:pic>
              </a:graphicData>
            </a:graphic>
          </wp:inline>
        </w:drawing>
      </w:r>
    </w:p>
    <w:p w:rsidR="005D2DA7" w:rsidRPr="00AF5796" w:rsidRDefault="005D2DA7" w:rsidP="005D2DA7">
      <w:pPr>
        <w:pStyle w:val="Heading1"/>
        <w:rPr>
          <w:lang w:val="en-US"/>
        </w:rPr>
      </w:pPr>
      <w:bookmarkStart w:id="29" w:name="_Toc427932300"/>
      <w:bookmarkStart w:id="30" w:name="_Toc427935109"/>
      <w:r w:rsidRPr="00AF5796">
        <w:rPr>
          <w:lang w:val="en-US"/>
        </w:rPr>
        <w:t>5</w:t>
      </w:r>
      <w:r w:rsidRPr="00AF5796">
        <w:rPr>
          <w:lang w:val="en-US"/>
        </w:rPr>
        <w:tab/>
        <w:t xml:space="preserve">Global IMT </w:t>
      </w:r>
      <w:r w:rsidR="005035DF" w:rsidRPr="00AF5796">
        <w:rPr>
          <w:lang w:val="en-US"/>
        </w:rPr>
        <w:t xml:space="preserve">traffic </w:t>
      </w:r>
      <w:r w:rsidRPr="00AF5796">
        <w:rPr>
          <w:lang w:val="en-US"/>
        </w:rPr>
        <w:t>estimations to 2030</w:t>
      </w:r>
      <w:bookmarkEnd w:id="29"/>
      <w:bookmarkEnd w:id="30"/>
    </w:p>
    <w:p w:rsidR="005D2DA7" w:rsidRPr="00AF5796" w:rsidRDefault="005D2DA7" w:rsidP="005D2DA7">
      <w:pPr>
        <w:pStyle w:val="Heading2"/>
        <w:rPr>
          <w:b w:val="0"/>
          <w:lang w:val="en-US" w:eastAsia="ja-JP"/>
        </w:rPr>
      </w:pPr>
      <w:bookmarkStart w:id="31" w:name="_Toc427932301"/>
      <w:bookmarkStart w:id="32" w:name="_Toc427935110"/>
      <w:r w:rsidRPr="00AF5796">
        <w:rPr>
          <w:lang w:val="en-US" w:eastAsia="ja-JP"/>
        </w:rPr>
        <w:t>5.1</w:t>
      </w:r>
      <w:r w:rsidRPr="00AF5796">
        <w:rPr>
          <w:lang w:val="en-US" w:eastAsia="ja-JP"/>
        </w:rPr>
        <w:tab/>
        <w:t>Estimation 1</w:t>
      </w:r>
      <w:r w:rsidRPr="00AF5796">
        <w:rPr>
          <w:rStyle w:val="FootnoteReference"/>
          <w:rFonts w:eastAsia="MS Mincho"/>
          <w:b w:val="0"/>
          <w:lang w:val="en-US" w:eastAsia="ja-JP"/>
        </w:rPr>
        <w:footnoteReference w:id="20"/>
      </w:r>
      <w:bookmarkEnd w:id="31"/>
      <w:bookmarkEnd w:id="32"/>
    </w:p>
    <w:p w:rsidR="005D2DA7" w:rsidRPr="00AF5796" w:rsidRDefault="005D2DA7" w:rsidP="005D2DA7">
      <w:pPr>
        <w:rPr>
          <w:lang w:val="en-US" w:eastAsia="zh-CN"/>
        </w:rPr>
      </w:pPr>
      <w:r w:rsidRPr="00AF5796">
        <w:rPr>
          <w:lang w:val="en-US" w:eastAsia="zh-CN"/>
        </w:rPr>
        <w:t xml:space="preserve">The following section describes this global mobile traffic estimation. </w:t>
      </w:r>
    </w:p>
    <w:p w:rsidR="005D2DA7" w:rsidRPr="00AF5796" w:rsidRDefault="005D2DA7" w:rsidP="005D2DA7">
      <w:pPr>
        <w:rPr>
          <w:i/>
          <w:u w:val="single"/>
          <w:lang w:val="en-US"/>
        </w:rPr>
      </w:pPr>
      <w:r w:rsidRPr="00AF5796">
        <w:rPr>
          <w:i/>
          <w:u w:val="single"/>
          <w:lang w:val="en-US"/>
        </w:rPr>
        <w:t>Estimation methods and procedures</w:t>
      </w:r>
    </w:p>
    <w:p w:rsidR="005D2DA7" w:rsidRPr="00AF5796" w:rsidRDefault="005D2DA7" w:rsidP="005D2DA7">
      <w:pPr>
        <w:pStyle w:val="enumlev1"/>
        <w:rPr>
          <w:rFonts w:eastAsia="MS Mincho"/>
          <w:lang w:val="en-US"/>
        </w:rPr>
      </w:pPr>
      <w:r w:rsidRPr="00AF5796">
        <w:rPr>
          <w:rFonts w:eastAsia="MS Mincho"/>
          <w:lang w:val="en-US"/>
        </w:rPr>
        <w:t xml:space="preserve">a) </w:t>
      </w:r>
      <w:r w:rsidRPr="00AF5796">
        <w:rPr>
          <w:rFonts w:eastAsia="MS Mincho"/>
          <w:lang w:val="en-US"/>
        </w:rPr>
        <w:tab/>
        <w:t>Statistical data collection on total global mobile traffic per month (including M2M) and the average mobile traffic per device per month</w:t>
      </w:r>
      <w:r w:rsidRPr="00AF5796">
        <w:rPr>
          <w:rFonts w:eastAsia="MS Mincho"/>
          <w:lang w:val="en-US" w:eastAsia="ja-JP"/>
        </w:rPr>
        <w:t xml:space="preserve"> </w:t>
      </w:r>
      <w:r w:rsidRPr="00AF5796">
        <w:rPr>
          <w:rFonts w:eastAsia="MS Mincho"/>
          <w:lang w:val="en-US"/>
        </w:rPr>
        <w:t>(several types of terminals were estimated separately, including feature phone, smartphones, M2M devices, tablets and other devices).</w:t>
      </w:r>
    </w:p>
    <w:p w:rsidR="005D2DA7" w:rsidRPr="00AF5796" w:rsidRDefault="005D2DA7" w:rsidP="005D2DA7">
      <w:pPr>
        <w:pStyle w:val="enumlev1"/>
        <w:rPr>
          <w:rFonts w:eastAsia="MS Mincho"/>
          <w:lang w:val="en-US"/>
        </w:rPr>
      </w:pPr>
      <w:r w:rsidRPr="00AF5796">
        <w:rPr>
          <w:rFonts w:eastAsia="MS Mincho"/>
          <w:lang w:val="en-US"/>
        </w:rPr>
        <w:t>b)</w:t>
      </w:r>
      <w:r w:rsidRPr="00AF5796">
        <w:rPr>
          <w:rFonts w:eastAsia="MS Mincho"/>
          <w:lang w:val="en-US"/>
        </w:rPr>
        <w:tab/>
        <w:t>Estimate the increase of global mobile traffic (including M2M) through curve fitting,</w:t>
      </w:r>
    </w:p>
    <w:p w:rsidR="005D2DA7" w:rsidRPr="00AF5796" w:rsidRDefault="005D2DA7" w:rsidP="005D2DA7">
      <w:pPr>
        <w:pStyle w:val="enumlev1"/>
        <w:rPr>
          <w:rFonts w:eastAsia="MS Mincho"/>
          <w:lang w:val="en-US"/>
        </w:rPr>
      </w:pPr>
      <w:r w:rsidRPr="00AF5796">
        <w:rPr>
          <w:rFonts w:eastAsia="MS Mincho"/>
          <w:lang w:val="en-US"/>
        </w:rPr>
        <w:t xml:space="preserve">c) </w:t>
      </w:r>
      <w:r w:rsidRPr="00AF5796">
        <w:rPr>
          <w:rFonts w:eastAsia="MS Mincho"/>
          <w:lang w:val="en-US"/>
        </w:rPr>
        <w:tab/>
        <w:t>Estimate the average mobile traffic per device per month in the future through curve fitting, several types of terminals were considered separately.</w:t>
      </w:r>
    </w:p>
    <w:p w:rsidR="005D2DA7" w:rsidRPr="00AF5796" w:rsidRDefault="005D2DA7" w:rsidP="005D2DA7">
      <w:pPr>
        <w:pStyle w:val="enumlev1"/>
        <w:rPr>
          <w:rFonts w:eastAsia="MS Mincho"/>
          <w:lang w:val="en-US"/>
        </w:rPr>
      </w:pPr>
      <w:r w:rsidRPr="00AF5796">
        <w:rPr>
          <w:rFonts w:eastAsia="MS Mincho"/>
          <w:lang w:val="en-US"/>
        </w:rPr>
        <w:t>d)</w:t>
      </w:r>
      <w:r w:rsidRPr="00AF5796">
        <w:rPr>
          <w:rFonts w:eastAsia="MS Mincho"/>
          <w:lang w:val="en-US"/>
        </w:rPr>
        <w:tab/>
        <w:t>Calculate the total mobile traffic per month for each type of terminal based on the average mobile traffic per device per month</w:t>
      </w:r>
      <w:r w:rsidRPr="00AF5796">
        <w:rPr>
          <w:rFonts w:eastAsia="MS Mincho"/>
          <w:lang w:val="en-US" w:eastAsia="ja-JP"/>
        </w:rPr>
        <w:t xml:space="preserve"> </w:t>
      </w:r>
      <w:r w:rsidRPr="00AF5796">
        <w:rPr>
          <w:rFonts w:eastAsia="MS Mincho"/>
          <w:lang w:val="en-US"/>
        </w:rPr>
        <w:t xml:space="preserve">(see step c) and the mobile subscriptions of such type of </w:t>
      </w:r>
      <w:r w:rsidRPr="00AF5796">
        <w:rPr>
          <w:rFonts w:eastAsia="MS Mincho"/>
          <w:lang w:val="en-US"/>
        </w:rPr>
        <w:lastRenderedPageBreak/>
        <w:t>terminal and revised through normalization method based on the estimated result of global mobile traffic</w:t>
      </w:r>
      <w:r w:rsidRPr="00AF5796">
        <w:rPr>
          <w:rFonts w:eastAsia="MS Mincho"/>
          <w:lang w:val="en-US" w:eastAsia="ja-JP"/>
        </w:rPr>
        <w:t xml:space="preserve"> </w:t>
      </w:r>
      <w:r w:rsidRPr="00AF5796">
        <w:rPr>
          <w:rFonts w:eastAsia="MS Mincho"/>
          <w:lang w:val="en-US"/>
        </w:rPr>
        <w:t>(including M2M,</w:t>
      </w:r>
      <w:r w:rsidRPr="00AF5796">
        <w:rPr>
          <w:rFonts w:eastAsia="MS Mincho"/>
          <w:lang w:val="en-US" w:eastAsia="ja-JP"/>
        </w:rPr>
        <w:t xml:space="preserve"> </w:t>
      </w:r>
      <w:r w:rsidRPr="00AF5796">
        <w:rPr>
          <w:rFonts w:eastAsia="MS Mincho"/>
          <w:lang w:val="en-US"/>
        </w:rPr>
        <w:t>see step b).</w:t>
      </w:r>
    </w:p>
    <w:p w:rsidR="005D2DA7" w:rsidRPr="00AF5796" w:rsidRDefault="005D2DA7" w:rsidP="005D2DA7">
      <w:pPr>
        <w:pStyle w:val="enumlev1"/>
        <w:rPr>
          <w:rFonts w:eastAsia="MS Mincho"/>
          <w:lang w:val="en-US"/>
        </w:rPr>
      </w:pPr>
      <w:r w:rsidRPr="00AF5796">
        <w:rPr>
          <w:rFonts w:eastAsia="MS Mincho"/>
          <w:lang w:val="en-US"/>
        </w:rPr>
        <w:t>e)</w:t>
      </w:r>
      <w:r w:rsidRPr="00AF5796">
        <w:rPr>
          <w:rFonts w:eastAsia="MS Mincho"/>
          <w:lang w:val="en-US"/>
        </w:rPr>
        <w:tab/>
        <w:t xml:space="preserve">Calculate the total mobile traffic (not including M2M). </w:t>
      </w:r>
    </w:p>
    <w:p w:rsidR="005D2DA7" w:rsidRPr="00AF5796" w:rsidRDefault="005D2DA7" w:rsidP="00220767">
      <w:pPr>
        <w:keepNext/>
        <w:keepLines/>
        <w:spacing w:before="240"/>
        <w:rPr>
          <w:i/>
          <w:u w:val="single"/>
          <w:lang w:val="en-US"/>
        </w:rPr>
      </w:pPr>
      <w:r w:rsidRPr="00AF5796">
        <w:rPr>
          <w:i/>
          <w:u w:val="single"/>
          <w:lang w:val="en-US"/>
        </w:rPr>
        <w:t>Estimation model and parameters</w:t>
      </w:r>
    </w:p>
    <w:p w:rsidR="005D2DA7" w:rsidRPr="00AF5796" w:rsidRDefault="005D2DA7" w:rsidP="00220767">
      <w:pPr>
        <w:keepNext/>
        <w:keepLines/>
        <w:rPr>
          <w:lang w:val="en-US" w:eastAsia="zh-CN"/>
        </w:rPr>
      </w:pPr>
      <w:r w:rsidRPr="00AF5796">
        <w:rPr>
          <w:szCs w:val="24"/>
          <w:lang w:val="en-US" w:eastAsia="zh-CN"/>
        </w:rPr>
        <w:t>G</w:t>
      </w:r>
      <w:r w:rsidRPr="00AF5796">
        <w:rPr>
          <w:szCs w:val="24"/>
          <w:lang w:val="en-US"/>
        </w:rPr>
        <w:t xml:space="preserve">lobal mobile </w:t>
      </w:r>
      <w:r w:rsidRPr="00AF5796">
        <w:rPr>
          <w:szCs w:val="24"/>
          <w:lang w:val="en-US" w:eastAsia="zh-CN"/>
        </w:rPr>
        <w:t>traffic (including M2M): based on power function fitting</w:t>
      </w:r>
      <w:r w:rsidRPr="00AF5796">
        <w:rPr>
          <w:szCs w:val="24"/>
          <w:lang w:val="en-US" w:eastAsia="ja-JP"/>
        </w:rPr>
        <w:t xml:space="preserve"> </w:t>
      </w:r>
      <w:r w:rsidRPr="00AF5796">
        <w:rPr>
          <w:szCs w:val="24"/>
          <w:lang w:val="en-US" w:eastAsia="zh-CN"/>
        </w:rPr>
        <w:t xml:space="preserve">(an example of curve fitting) to estimate the year on year growth until year 2030, then calculated the mobile traffic every year. </w:t>
      </w:r>
      <w:r w:rsidRPr="00AF5796">
        <w:rPr>
          <w:szCs w:val="24"/>
          <w:lang w:val="en-US" w:eastAsia="ja-JP"/>
        </w:rPr>
        <w:t>Table 8 shows the statistical information</w:t>
      </w:r>
      <w:r w:rsidRPr="00AF5796">
        <w:rPr>
          <w:lang w:val="en-US" w:eastAsia="ja-JP"/>
        </w:rPr>
        <w:t xml:space="preserve"> used in the estimation</w:t>
      </w:r>
      <w:r w:rsidRPr="00AF5796">
        <w:rPr>
          <w:lang w:val="en-US" w:eastAsia="zh-CN"/>
        </w:rPr>
        <w:t>.</w:t>
      </w:r>
    </w:p>
    <w:p w:rsidR="005D2DA7" w:rsidRPr="00AF5796" w:rsidRDefault="005D2DA7" w:rsidP="005D2DA7">
      <w:pPr>
        <w:pStyle w:val="TableNo"/>
        <w:rPr>
          <w:lang w:val="en-US" w:eastAsia="ja-JP"/>
        </w:rPr>
      </w:pPr>
      <w:r w:rsidRPr="00AF5796">
        <w:rPr>
          <w:lang w:val="en-US" w:eastAsia="zh-CN"/>
        </w:rPr>
        <w:t xml:space="preserve">TABLE </w:t>
      </w:r>
      <w:r w:rsidRPr="00AF5796">
        <w:rPr>
          <w:lang w:val="en-US" w:eastAsia="ja-JP"/>
        </w:rPr>
        <w:t>8</w:t>
      </w:r>
    </w:p>
    <w:p w:rsidR="005D2DA7" w:rsidRPr="00AF5796" w:rsidRDefault="005D2DA7" w:rsidP="005D2DA7">
      <w:pPr>
        <w:pStyle w:val="Tabletitle"/>
        <w:rPr>
          <w:lang w:val="en-US" w:eastAsia="ja-JP"/>
        </w:rPr>
      </w:pPr>
      <w:r w:rsidRPr="00AF5796">
        <w:rPr>
          <w:lang w:val="en-US" w:eastAsia="ja-JP"/>
        </w:rPr>
        <w:t>Statistical information used in the estimation</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737"/>
        <w:gridCol w:w="737"/>
        <w:gridCol w:w="737"/>
        <w:gridCol w:w="737"/>
        <w:gridCol w:w="737"/>
        <w:gridCol w:w="737"/>
        <w:gridCol w:w="737"/>
        <w:gridCol w:w="737"/>
      </w:tblGrid>
      <w:tr w:rsidR="005D2DA7" w:rsidRPr="00AF5796" w:rsidTr="008A40E0">
        <w:trPr>
          <w:jc w:val="center"/>
        </w:trPr>
        <w:tc>
          <w:tcPr>
            <w:tcW w:w="2665" w:type="dxa"/>
          </w:tcPr>
          <w:p w:rsidR="005D2DA7" w:rsidRPr="00AF5796" w:rsidRDefault="005D2DA7" w:rsidP="00BE3007">
            <w:pPr>
              <w:pStyle w:val="Tablehead"/>
              <w:rPr>
                <w:lang w:val="en-US" w:eastAsia="ja-JP"/>
              </w:rPr>
            </w:pPr>
            <w:r w:rsidRPr="00AF5796">
              <w:rPr>
                <w:lang w:val="en-US" w:eastAsia="ja-JP"/>
              </w:rPr>
              <w:t>Years</w:t>
            </w:r>
          </w:p>
        </w:tc>
        <w:tc>
          <w:tcPr>
            <w:tcW w:w="737" w:type="dxa"/>
          </w:tcPr>
          <w:p w:rsidR="005D2DA7" w:rsidRPr="00AF5796" w:rsidRDefault="005D2DA7" w:rsidP="00BE3007">
            <w:pPr>
              <w:pStyle w:val="Tablehead"/>
              <w:rPr>
                <w:lang w:val="en-US" w:eastAsia="ja-JP"/>
              </w:rPr>
            </w:pPr>
            <w:r w:rsidRPr="00AF5796">
              <w:rPr>
                <w:lang w:val="en-US" w:eastAsia="ja-JP"/>
              </w:rPr>
              <w:t>2005</w:t>
            </w:r>
          </w:p>
        </w:tc>
        <w:tc>
          <w:tcPr>
            <w:tcW w:w="737" w:type="dxa"/>
          </w:tcPr>
          <w:p w:rsidR="005D2DA7" w:rsidRPr="00AF5796" w:rsidRDefault="005D2DA7" w:rsidP="00BE3007">
            <w:pPr>
              <w:pStyle w:val="Tablehead"/>
              <w:rPr>
                <w:lang w:val="en-US" w:eastAsia="ja-JP"/>
              </w:rPr>
            </w:pPr>
            <w:r w:rsidRPr="00AF5796">
              <w:rPr>
                <w:lang w:val="en-US" w:eastAsia="ja-JP"/>
              </w:rPr>
              <w:t>2006</w:t>
            </w:r>
          </w:p>
        </w:tc>
        <w:tc>
          <w:tcPr>
            <w:tcW w:w="737" w:type="dxa"/>
          </w:tcPr>
          <w:p w:rsidR="005D2DA7" w:rsidRPr="00AF5796" w:rsidRDefault="005D2DA7" w:rsidP="00BE3007">
            <w:pPr>
              <w:pStyle w:val="Tablehead"/>
              <w:rPr>
                <w:lang w:val="en-US" w:eastAsia="ja-JP"/>
              </w:rPr>
            </w:pPr>
            <w:r w:rsidRPr="00AF5796">
              <w:rPr>
                <w:lang w:val="en-US" w:eastAsia="ja-JP"/>
              </w:rPr>
              <w:t>2007</w:t>
            </w:r>
          </w:p>
        </w:tc>
        <w:tc>
          <w:tcPr>
            <w:tcW w:w="737" w:type="dxa"/>
          </w:tcPr>
          <w:p w:rsidR="005D2DA7" w:rsidRPr="00AF5796" w:rsidRDefault="005D2DA7" w:rsidP="00BE3007">
            <w:pPr>
              <w:pStyle w:val="Tablehead"/>
              <w:rPr>
                <w:lang w:val="en-US" w:eastAsia="ja-JP"/>
              </w:rPr>
            </w:pPr>
            <w:r w:rsidRPr="00AF5796">
              <w:rPr>
                <w:lang w:val="en-US" w:eastAsia="ja-JP"/>
              </w:rPr>
              <w:t>2008</w:t>
            </w:r>
          </w:p>
        </w:tc>
        <w:tc>
          <w:tcPr>
            <w:tcW w:w="737" w:type="dxa"/>
          </w:tcPr>
          <w:p w:rsidR="005D2DA7" w:rsidRPr="00AF5796" w:rsidRDefault="005D2DA7" w:rsidP="00BE3007">
            <w:pPr>
              <w:pStyle w:val="Tablehead"/>
              <w:rPr>
                <w:lang w:val="en-US" w:eastAsia="ja-JP"/>
              </w:rPr>
            </w:pPr>
            <w:r w:rsidRPr="00AF5796">
              <w:rPr>
                <w:lang w:val="en-US" w:eastAsia="ja-JP"/>
              </w:rPr>
              <w:t>2009</w:t>
            </w:r>
          </w:p>
        </w:tc>
        <w:tc>
          <w:tcPr>
            <w:tcW w:w="737" w:type="dxa"/>
          </w:tcPr>
          <w:p w:rsidR="005D2DA7" w:rsidRPr="00AF5796" w:rsidRDefault="005D2DA7" w:rsidP="00BE3007">
            <w:pPr>
              <w:pStyle w:val="Tablehead"/>
              <w:rPr>
                <w:lang w:val="en-US" w:eastAsia="ja-JP"/>
              </w:rPr>
            </w:pPr>
            <w:r w:rsidRPr="00AF5796">
              <w:rPr>
                <w:lang w:val="en-US" w:eastAsia="ja-JP"/>
              </w:rPr>
              <w:t>2010</w:t>
            </w:r>
          </w:p>
        </w:tc>
        <w:tc>
          <w:tcPr>
            <w:tcW w:w="737" w:type="dxa"/>
          </w:tcPr>
          <w:p w:rsidR="005D2DA7" w:rsidRPr="00AF5796" w:rsidRDefault="005D2DA7" w:rsidP="00BE3007">
            <w:pPr>
              <w:pStyle w:val="Tablehead"/>
              <w:rPr>
                <w:lang w:val="en-US" w:eastAsia="ja-JP"/>
              </w:rPr>
            </w:pPr>
            <w:r w:rsidRPr="00AF5796">
              <w:rPr>
                <w:lang w:val="en-US" w:eastAsia="ja-JP"/>
              </w:rPr>
              <w:t>2011</w:t>
            </w:r>
          </w:p>
        </w:tc>
        <w:tc>
          <w:tcPr>
            <w:tcW w:w="737" w:type="dxa"/>
          </w:tcPr>
          <w:p w:rsidR="005D2DA7" w:rsidRPr="00AF5796" w:rsidRDefault="005D2DA7" w:rsidP="00BE3007">
            <w:pPr>
              <w:pStyle w:val="Tablehead"/>
              <w:rPr>
                <w:lang w:val="en-US" w:eastAsia="ja-JP"/>
              </w:rPr>
            </w:pPr>
            <w:r w:rsidRPr="00AF5796">
              <w:rPr>
                <w:lang w:val="en-US" w:eastAsia="ja-JP"/>
              </w:rPr>
              <w:t>2012</w:t>
            </w:r>
          </w:p>
        </w:tc>
      </w:tr>
      <w:tr w:rsidR="005D2DA7" w:rsidRPr="00AF5796" w:rsidTr="008A40E0">
        <w:trPr>
          <w:jc w:val="center"/>
        </w:trPr>
        <w:tc>
          <w:tcPr>
            <w:tcW w:w="2665" w:type="dxa"/>
          </w:tcPr>
          <w:p w:rsidR="005D2DA7" w:rsidRPr="00AF5796" w:rsidRDefault="005D2DA7" w:rsidP="00D513B3">
            <w:pPr>
              <w:pStyle w:val="TableText0"/>
              <w:rPr>
                <w:sz w:val="20"/>
                <w:lang w:val="en-US" w:eastAsia="ja-JP"/>
              </w:rPr>
            </w:pPr>
            <w:r w:rsidRPr="00AF5796">
              <w:rPr>
                <w:sz w:val="20"/>
                <w:lang w:val="en-US" w:eastAsia="ja-JP"/>
              </w:rPr>
              <w:t>Mobile traffic (PB/Month)</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0.9</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4</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15</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38</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92</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256</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597</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885</w:t>
            </w:r>
          </w:p>
        </w:tc>
      </w:tr>
    </w:tbl>
    <w:p w:rsidR="005D2DA7" w:rsidRPr="00AF5796" w:rsidRDefault="005D2DA7" w:rsidP="00380233">
      <w:pPr>
        <w:pStyle w:val="Tablefin"/>
        <w:rPr>
          <w:lang w:val="en-US"/>
        </w:rPr>
      </w:pPr>
    </w:p>
    <w:p w:rsidR="005D2DA7" w:rsidRPr="00AF5796" w:rsidRDefault="005D2DA7" w:rsidP="005D2DA7">
      <w:pPr>
        <w:rPr>
          <w:lang w:val="en-US"/>
        </w:rPr>
      </w:pPr>
      <w:r w:rsidRPr="00AF5796">
        <w:rPr>
          <w:lang w:val="en-US"/>
        </w:rPr>
        <w:t xml:space="preserve">Figure </w:t>
      </w:r>
      <w:r w:rsidRPr="00AF5796">
        <w:rPr>
          <w:lang w:val="en-US" w:eastAsia="ja-JP"/>
        </w:rPr>
        <w:t>7</w:t>
      </w:r>
      <w:r w:rsidRPr="00AF5796">
        <w:rPr>
          <w:lang w:val="en-US"/>
        </w:rPr>
        <w:t xml:space="preserve"> below shows an estimation of global traffic through 2030.</w:t>
      </w:r>
    </w:p>
    <w:p w:rsidR="005D2DA7" w:rsidRPr="00AF5796" w:rsidRDefault="005D2DA7" w:rsidP="005D2DA7">
      <w:pPr>
        <w:pStyle w:val="FigureNo"/>
        <w:rPr>
          <w:lang w:val="en-US" w:eastAsia="ja-JP"/>
        </w:rPr>
      </w:pPr>
      <w:r w:rsidRPr="00AF5796">
        <w:rPr>
          <w:lang w:val="en-US"/>
        </w:rPr>
        <w:t xml:space="preserve">Figure </w:t>
      </w:r>
      <w:r w:rsidRPr="00AF5796">
        <w:rPr>
          <w:lang w:val="en-US" w:eastAsia="ja-JP"/>
        </w:rPr>
        <w:t>7</w:t>
      </w:r>
    </w:p>
    <w:p w:rsidR="005D2DA7" w:rsidRPr="00AF5796" w:rsidRDefault="005D2DA7" w:rsidP="005D2DA7">
      <w:pPr>
        <w:pStyle w:val="Figuretitle"/>
        <w:spacing w:after="240"/>
        <w:rPr>
          <w:sz w:val="21"/>
          <w:lang w:val="en-US"/>
        </w:rPr>
      </w:pPr>
      <w:r w:rsidRPr="00AF5796">
        <w:rPr>
          <w:lang w:val="en-US"/>
        </w:rPr>
        <w:t xml:space="preserve">Estimations of global mobile traffic from 2020 to 2030 </w:t>
      </w:r>
      <w:r w:rsidRPr="00AF5796">
        <w:rPr>
          <w:sz w:val="21"/>
          <w:lang w:val="en-US"/>
        </w:rPr>
        <w:t xml:space="preserve">(M2M traffic </w:t>
      </w:r>
      <w:r w:rsidRPr="00AF5796">
        <w:rPr>
          <w:sz w:val="21"/>
          <w:lang w:val="en-US" w:eastAsia="zh-CN"/>
        </w:rPr>
        <w:t xml:space="preserve">not </w:t>
      </w:r>
      <w:r w:rsidRPr="00AF5796">
        <w:rPr>
          <w:sz w:val="21"/>
          <w:lang w:val="en-US"/>
        </w:rPr>
        <w:t>included)</w:t>
      </w:r>
    </w:p>
    <w:p w:rsidR="005D2DA7" w:rsidRPr="00AF5796" w:rsidRDefault="005D2DA7" w:rsidP="00380233">
      <w:pPr>
        <w:pStyle w:val="Figure"/>
        <w:rPr>
          <w:lang w:val="en-US"/>
        </w:rPr>
      </w:pPr>
      <w:r w:rsidRPr="00AF5796">
        <w:rPr>
          <w:noProof/>
          <w:lang w:val="en-US" w:eastAsia="zh-CN"/>
        </w:rPr>
        <w:drawing>
          <wp:inline distT="0" distB="0" distL="0" distR="0" wp14:anchorId="000EE00B" wp14:editId="55B5BE0B">
            <wp:extent cx="5486400" cy="2313830"/>
            <wp:effectExtent l="0" t="0" r="19050" b="10795"/>
            <wp:docPr id="2"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2DA7" w:rsidRPr="00AF5796" w:rsidRDefault="005D2DA7" w:rsidP="00567C49">
      <w:pPr>
        <w:rPr>
          <w:lang w:val="en-US" w:eastAsia="zh-CN"/>
        </w:rPr>
      </w:pPr>
      <w:r w:rsidRPr="00AF5796">
        <w:rPr>
          <w:lang w:val="en-US" w:eastAsia="zh-CN"/>
        </w:rPr>
        <w:t xml:space="preserve">This </w:t>
      </w:r>
      <w:r w:rsidR="00567C49">
        <w:rPr>
          <w:lang w:val="en-US" w:eastAsia="zh-CN"/>
        </w:rPr>
        <w:t>F</w:t>
      </w:r>
      <w:r w:rsidRPr="00AF5796">
        <w:rPr>
          <w:lang w:val="en-US" w:eastAsia="zh-CN"/>
        </w:rPr>
        <w:t xml:space="preserve">igure shows </w:t>
      </w:r>
      <w:r w:rsidR="00567C49">
        <w:rPr>
          <w:lang w:val="en-US" w:eastAsia="zh-CN"/>
        </w:rPr>
        <w:t xml:space="preserve">that </w:t>
      </w:r>
      <w:r w:rsidRPr="00AF5796">
        <w:rPr>
          <w:lang w:val="en-US" w:eastAsia="zh-CN"/>
        </w:rPr>
        <w:t xml:space="preserve">mobile traffic (without M2M traffic) is estimated to grow at an annual rate of around 54% in 2020-2030. </w:t>
      </w:r>
    </w:p>
    <w:p w:rsidR="005D2DA7" w:rsidRPr="00AF5796" w:rsidRDefault="005D2DA7" w:rsidP="005D2DA7">
      <w:pPr>
        <w:rPr>
          <w:lang w:val="en-US" w:eastAsia="zh-CN"/>
        </w:rPr>
      </w:pPr>
      <w:r w:rsidRPr="00AF5796">
        <w:rPr>
          <w:lang w:val="en-US" w:eastAsia="zh-CN"/>
        </w:rPr>
        <w:t>The global mobile traffic per month is estimated to 543EB in 2025 and 4</w:t>
      </w:r>
      <w:r w:rsidRPr="00AF5796">
        <w:rPr>
          <w:lang w:val="en-US" w:eastAsia="ja-JP"/>
        </w:rPr>
        <w:t xml:space="preserve"> </w:t>
      </w:r>
      <w:r w:rsidRPr="00AF5796">
        <w:rPr>
          <w:lang w:val="en-US" w:eastAsia="zh-CN"/>
        </w:rPr>
        <w:t xml:space="preserve">394EB in 2030. </w:t>
      </w:r>
    </w:p>
    <w:p w:rsidR="005D2DA7" w:rsidRPr="00AF5796" w:rsidRDefault="005D2DA7" w:rsidP="00F27506">
      <w:pPr>
        <w:rPr>
          <w:lang w:val="en-US" w:eastAsia="zh-CN"/>
        </w:rPr>
      </w:pPr>
      <w:r w:rsidRPr="00AF5796">
        <w:rPr>
          <w:lang w:val="en-US" w:eastAsia="zh-CN"/>
        </w:rPr>
        <w:t xml:space="preserve">Figure </w:t>
      </w:r>
      <w:r w:rsidRPr="00AF5796">
        <w:rPr>
          <w:lang w:val="en-US" w:eastAsia="ja-JP"/>
        </w:rPr>
        <w:t>8</w:t>
      </w:r>
      <w:r w:rsidRPr="00AF5796">
        <w:rPr>
          <w:lang w:val="en-US" w:eastAsia="zh-CN"/>
        </w:rPr>
        <w:t xml:space="preserve"> below shows mobile traffic (including M2M traffic) growing at an annual rate of around 55% in 2020-2030. The global mobile traffic per month would then be estimated to reach to 607</w:t>
      </w:r>
      <w:r w:rsidR="00F27506" w:rsidRPr="00AF5796">
        <w:rPr>
          <w:lang w:val="en-US" w:eastAsia="zh-CN"/>
        </w:rPr>
        <w:t> </w:t>
      </w:r>
      <w:r w:rsidRPr="00AF5796">
        <w:rPr>
          <w:lang w:val="en-US" w:eastAsia="zh-CN"/>
        </w:rPr>
        <w:t>EB in 2025 and 5 016 EB in 2030.</w:t>
      </w:r>
    </w:p>
    <w:p w:rsidR="005D2DA7" w:rsidRPr="00AF5796" w:rsidRDefault="005D2DA7" w:rsidP="005D2DA7">
      <w:pPr>
        <w:pStyle w:val="FigureNo"/>
        <w:spacing w:before="360"/>
        <w:rPr>
          <w:lang w:val="en-US" w:eastAsia="ja-JP"/>
        </w:rPr>
      </w:pPr>
      <w:r w:rsidRPr="00AF5796">
        <w:rPr>
          <w:lang w:val="en-US"/>
        </w:rPr>
        <w:lastRenderedPageBreak/>
        <w:t xml:space="preserve">Figure </w:t>
      </w:r>
      <w:r w:rsidRPr="00AF5796">
        <w:rPr>
          <w:lang w:val="en-US" w:eastAsia="ja-JP"/>
        </w:rPr>
        <w:t>8</w:t>
      </w:r>
    </w:p>
    <w:p w:rsidR="005D2DA7" w:rsidRPr="00AF5796" w:rsidRDefault="005D2DA7" w:rsidP="00A537EE">
      <w:pPr>
        <w:pStyle w:val="Figuretitle"/>
        <w:rPr>
          <w:lang w:val="en-US" w:eastAsia="zh-CN"/>
        </w:rPr>
      </w:pPr>
      <w:r w:rsidRPr="00AF5796">
        <w:rPr>
          <w:lang w:val="en-US"/>
        </w:rPr>
        <w:t xml:space="preserve">Estimations of global </w:t>
      </w:r>
      <w:r w:rsidRPr="00AF5796">
        <w:rPr>
          <w:lang w:val="en-US" w:eastAsia="zh-CN"/>
        </w:rPr>
        <w:t>mobile</w:t>
      </w:r>
      <w:r w:rsidRPr="00AF5796">
        <w:rPr>
          <w:lang w:val="en-US"/>
        </w:rPr>
        <w:t xml:space="preserve"> </w:t>
      </w:r>
      <w:r w:rsidRPr="00AF5796">
        <w:rPr>
          <w:lang w:val="en-US" w:eastAsia="zh-CN"/>
        </w:rPr>
        <w:t>traffic in</w:t>
      </w:r>
      <w:r w:rsidRPr="00AF5796">
        <w:rPr>
          <w:lang w:val="en-US"/>
        </w:rPr>
        <w:t xml:space="preserve"> 2020-2030 (</w:t>
      </w:r>
      <w:r w:rsidRPr="00AF5796">
        <w:rPr>
          <w:lang w:val="en-US" w:eastAsia="zh-CN"/>
        </w:rPr>
        <w:t>M2M traffic included</w:t>
      </w:r>
      <w:r w:rsidRPr="00AF5796">
        <w:rPr>
          <w:lang w:val="en-US"/>
        </w:rPr>
        <w:t>)</w:t>
      </w:r>
    </w:p>
    <w:p w:rsidR="005D2DA7" w:rsidRPr="00AF5796" w:rsidRDefault="005D2DA7" w:rsidP="00A537EE">
      <w:pPr>
        <w:pStyle w:val="Figure"/>
        <w:rPr>
          <w:lang w:val="en-US" w:eastAsia="zh-CN"/>
        </w:rPr>
      </w:pPr>
      <w:r w:rsidRPr="00AF5796">
        <w:rPr>
          <w:noProof/>
          <w:lang w:val="en-US" w:eastAsia="zh-CN"/>
        </w:rPr>
        <w:drawing>
          <wp:inline distT="0" distB="0" distL="0" distR="0" wp14:anchorId="384880BE" wp14:editId="507FCAD8">
            <wp:extent cx="5273232" cy="2432649"/>
            <wp:effectExtent l="19050" t="0" r="22668" b="5751"/>
            <wp:docPr id="7"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2DA7" w:rsidRPr="00AF5796" w:rsidRDefault="005D2DA7" w:rsidP="00BE3007">
      <w:pPr>
        <w:pStyle w:val="Headingb"/>
        <w:rPr>
          <w:lang w:val="en-US" w:eastAsia="ja-JP"/>
        </w:rPr>
      </w:pPr>
      <w:r w:rsidRPr="00AF5796">
        <w:rPr>
          <w:lang w:val="en-US" w:eastAsia="zh-CN"/>
        </w:rPr>
        <w:t>Estimation of mobile traffic</w:t>
      </w:r>
      <w:r w:rsidRPr="00AF5796">
        <w:rPr>
          <w:lang w:val="en-US" w:eastAsia="ja-JP"/>
        </w:rPr>
        <w:t xml:space="preserve"> by different service types</w:t>
      </w:r>
    </w:p>
    <w:p w:rsidR="005D2DA7" w:rsidRPr="00AF5796" w:rsidRDefault="005D2DA7" w:rsidP="005D2DA7">
      <w:pPr>
        <w:rPr>
          <w:lang w:val="en-US"/>
        </w:rPr>
      </w:pPr>
      <w:r w:rsidRPr="00AF5796">
        <w:rPr>
          <w:lang w:val="en-US"/>
        </w:rPr>
        <w:t>This section includes the estimated results of mobile traffic by different service types for the years 2020</w:t>
      </w:r>
      <w:r w:rsidRPr="00AF5796">
        <w:rPr>
          <w:lang w:val="en-US"/>
        </w:rPr>
        <w:noBreakHyphen/>
        <w:t>20</w:t>
      </w:r>
      <w:r w:rsidRPr="00AF5796">
        <w:rPr>
          <w:lang w:val="en-US" w:eastAsia="ja-JP"/>
        </w:rPr>
        <w:t>30</w:t>
      </w:r>
      <w:r w:rsidRPr="00AF5796">
        <w:rPr>
          <w:lang w:val="en-US"/>
        </w:rPr>
        <w:t xml:space="preserve">. Video, non-video, M2M and other types of services are considered. </w:t>
      </w:r>
    </w:p>
    <w:p w:rsidR="005D2DA7" w:rsidRPr="00AF5796" w:rsidRDefault="005D2DA7" w:rsidP="005D2DA7">
      <w:pPr>
        <w:rPr>
          <w:lang w:val="en-US" w:eastAsia="zh-CN"/>
        </w:rPr>
      </w:pPr>
      <w:r w:rsidRPr="00AF5796">
        <w:rPr>
          <w:lang w:val="en-US" w:eastAsia="zh-CN"/>
        </w:rPr>
        <w:t>Both subscriber behaviour and service characters, especially future new services, are very important factors impacting the estimation of traffic volume. Other information such as business model, operation model and accounting rule are also helpful.</w:t>
      </w:r>
    </w:p>
    <w:p w:rsidR="005D2DA7" w:rsidRPr="00AF5796" w:rsidRDefault="005D2DA7" w:rsidP="005D2DA7">
      <w:pPr>
        <w:spacing w:before="240"/>
        <w:rPr>
          <w:i/>
          <w:u w:val="single"/>
          <w:lang w:val="en-US"/>
        </w:rPr>
      </w:pPr>
      <w:r w:rsidRPr="00AF5796">
        <w:rPr>
          <w:i/>
          <w:u w:val="single"/>
          <w:lang w:val="en-US"/>
        </w:rPr>
        <w:t xml:space="preserve">Estimation methods and procedures </w:t>
      </w:r>
    </w:p>
    <w:p w:rsidR="005D2DA7" w:rsidRPr="00AF5796" w:rsidRDefault="005D2DA7" w:rsidP="005D2DA7">
      <w:pPr>
        <w:rPr>
          <w:lang w:val="en-US"/>
        </w:rPr>
      </w:pPr>
      <w:r w:rsidRPr="00AF5796">
        <w:rPr>
          <w:lang w:val="en-US"/>
        </w:rPr>
        <w:t>Estimation methods and procedures were based in the following steps:</w:t>
      </w:r>
    </w:p>
    <w:p w:rsidR="005D2DA7" w:rsidRPr="00AF5796" w:rsidRDefault="005D2DA7" w:rsidP="005D2DA7">
      <w:pPr>
        <w:pStyle w:val="enumlev1"/>
        <w:ind w:hanging="567"/>
        <w:rPr>
          <w:rFonts w:eastAsia="MS Mincho"/>
          <w:lang w:val="en-US"/>
        </w:rPr>
      </w:pPr>
      <w:r w:rsidRPr="00AF5796">
        <w:rPr>
          <w:rFonts w:eastAsia="MS Mincho"/>
          <w:lang w:val="en-US"/>
        </w:rPr>
        <w:t>a)</w:t>
      </w:r>
      <w:r w:rsidRPr="00AF5796">
        <w:rPr>
          <w:rFonts w:eastAsia="MS Mincho"/>
          <w:lang w:val="en-US"/>
        </w:rPr>
        <w:tab/>
        <w:t>Statistical data collection on total global mobile traffic per month (including M2M) and the mobile traffic by service types per month (several types of services are estimated separately, including video, non-video and M2M)</w:t>
      </w:r>
      <w:r w:rsidR="008A40E0">
        <w:rPr>
          <w:rFonts w:eastAsia="MS Mincho"/>
          <w:lang w:val="en-US"/>
        </w:rPr>
        <w:t>.</w:t>
      </w:r>
    </w:p>
    <w:p w:rsidR="005D2DA7" w:rsidRPr="00AF5796" w:rsidRDefault="005D2DA7" w:rsidP="005D2DA7">
      <w:pPr>
        <w:pStyle w:val="enumlev1"/>
        <w:ind w:hanging="567"/>
        <w:rPr>
          <w:rFonts w:eastAsia="MS Mincho"/>
          <w:lang w:val="en-US"/>
        </w:rPr>
      </w:pPr>
      <w:r w:rsidRPr="00AF5796">
        <w:rPr>
          <w:rFonts w:eastAsia="MS Mincho"/>
          <w:lang w:val="en-US"/>
        </w:rPr>
        <w:t>b)</w:t>
      </w:r>
      <w:r w:rsidRPr="00AF5796">
        <w:rPr>
          <w:rFonts w:eastAsia="MS Mincho"/>
          <w:lang w:val="en-US"/>
        </w:rPr>
        <w:tab/>
        <w:t>Estimate the increase of global mobile traffic (including M2M) through curve fitting</w:t>
      </w:r>
      <w:r w:rsidR="008A40E0">
        <w:rPr>
          <w:rFonts w:eastAsia="MS Mincho"/>
          <w:lang w:val="en-US"/>
        </w:rPr>
        <w:t>.</w:t>
      </w:r>
    </w:p>
    <w:p w:rsidR="005D2DA7" w:rsidRPr="00AF5796" w:rsidRDefault="005D2DA7" w:rsidP="002F0D42">
      <w:pPr>
        <w:pStyle w:val="enumlev1"/>
        <w:ind w:hanging="567"/>
        <w:rPr>
          <w:rFonts w:eastAsia="MS Mincho"/>
          <w:lang w:val="en-US"/>
        </w:rPr>
      </w:pPr>
      <w:r w:rsidRPr="00AF5796">
        <w:rPr>
          <w:rFonts w:eastAsia="MS Mincho"/>
          <w:lang w:val="en-US"/>
        </w:rPr>
        <w:t>c)</w:t>
      </w:r>
      <w:r w:rsidRPr="00AF5796">
        <w:rPr>
          <w:rFonts w:eastAsia="MS Mincho"/>
          <w:lang w:val="en-US"/>
        </w:rPr>
        <w:tab/>
        <w:t>Estimate the mobile traffic of each type of service separately, and revise through normalization method based on the estimated result of global mobile traffic (including M2M, see step</w:t>
      </w:r>
      <w:r w:rsidR="002F0D42" w:rsidRPr="00AF5796">
        <w:rPr>
          <w:rFonts w:eastAsia="MS Mincho"/>
          <w:lang w:val="en-US"/>
        </w:rPr>
        <w:t> </w:t>
      </w:r>
      <w:r w:rsidRPr="00AF5796">
        <w:rPr>
          <w:rFonts w:eastAsia="MS Mincho"/>
          <w:lang w:val="en-US"/>
        </w:rPr>
        <w:t>b).</w:t>
      </w:r>
    </w:p>
    <w:p w:rsidR="005D2DA7" w:rsidRPr="00AF5796" w:rsidRDefault="005D2DA7" w:rsidP="005D2DA7">
      <w:pPr>
        <w:spacing w:before="240"/>
        <w:rPr>
          <w:i/>
          <w:u w:val="single"/>
          <w:lang w:val="en-US"/>
        </w:rPr>
      </w:pPr>
      <w:r w:rsidRPr="00AF5796">
        <w:rPr>
          <w:i/>
          <w:u w:val="single"/>
          <w:lang w:val="en-US"/>
        </w:rPr>
        <w:t>Estimation models and parameters</w:t>
      </w:r>
    </w:p>
    <w:p w:rsidR="005D2DA7" w:rsidRPr="00AF5796" w:rsidRDefault="005D2DA7" w:rsidP="002F0D42">
      <w:pPr>
        <w:rPr>
          <w:szCs w:val="24"/>
          <w:lang w:val="en-US" w:eastAsia="zh-CN"/>
        </w:rPr>
      </w:pPr>
      <w:r w:rsidRPr="00AF5796">
        <w:rPr>
          <w:szCs w:val="24"/>
          <w:lang w:val="en-US" w:eastAsia="zh-CN"/>
        </w:rPr>
        <w:t xml:space="preserve">Mobile traffic by service type: based on power function fitting (an example of curve fitting) to estimate the year on year growth, different services were estimated separately and revised through normalization method based on the estimated result of global mobile traffic as seen in </w:t>
      </w:r>
      <w:r w:rsidR="00207607" w:rsidRPr="00AF5796">
        <w:rPr>
          <w:szCs w:val="24"/>
          <w:lang w:val="en-US" w:eastAsia="zh-CN"/>
        </w:rPr>
        <w:t>Fig.</w:t>
      </w:r>
      <w:r w:rsidR="002F0D42" w:rsidRPr="00AF5796">
        <w:rPr>
          <w:szCs w:val="24"/>
          <w:lang w:val="en-US" w:eastAsia="zh-CN"/>
        </w:rPr>
        <w:t> </w:t>
      </w:r>
      <w:r w:rsidRPr="00AF5796">
        <w:rPr>
          <w:szCs w:val="24"/>
          <w:lang w:val="en-US" w:eastAsia="ja-JP"/>
        </w:rPr>
        <w:t xml:space="preserve">9 </w:t>
      </w:r>
      <w:r w:rsidRPr="00AF5796">
        <w:rPr>
          <w:szCs w:val="24"/>
          <w:lang w:val="en-US" w:eastAsia="zh-CN"/>
        </w:rPr>
        <w:t xml:space="preserve">(with the assumption that the proportion of each type of service obtained from respective curve-fitting results unchanged). </w:t>
      </w:r>
      <w:r w:rsidRPr="00AF5796">
        <w:rPr>
          <w:szCs w:val="24"/>
          <w:lang w:val="en-US" w:eastAsia="ja-JP"/>
        </w:rPr>
        <w:t>Table 9 shows the statistical information used in the estimation</w:t>
      </w:r>
      <w:r w:rsidRPr="00AF5796">
        <w:rPr>
          <w:szCs w:val="24"/>
          <w:lang w:val="en-US" w:eastAsia="zh-CN"/>
        </w:rPr>
        <w:t>.</w:t>
      </w:r>
    </w:p>
    <w:p w:rsidR="005D2DA7" w:rsidRPr="00AF5796" w:rsidRDefault="005D2DA7" w:rsidP="005D2DA7">
      <w:pPr>
        <w:pStyle w:val="FigureNo"/>
        <w:rPr>
          <w:lang w:val="en-US" w:eastAsia="zh-CN"/>
        </w:rPr>
      </w:pPr>
      <w:r w:rsidRPr="00AF5796">
        <w:rPr>
          <w:lang w:val="en-US" w:eastAsia="zh-CN"/>
        </w:rPr>
        <w:lastRenderedPageBreak/>
        <w:t xml:space="preserve">Figure </w:t>
      </w:r>
      <w:r w:rsidRPr="00AF5796">
        <w:rPr>
          <w:lang w:val="en-US" w:eastAsia="ja-JP"/>
        </w:rPr>
        <w:t>9</w:t>
      </w:r>
    </w:p>
    <w:p w:rsidR="005D2DA7" w:rsidRPr="00AF5796" w:rsidRDefault="005D2DA7" w:rsidP="005D2DA7">
      <w:pPr>
        <w:pStyle w:val="Figuretitle"/>
        <w:spacing w:after="240"/>
        <w:rPr>
          <w:lang w:val="en-US" w:eastAsia="zh-CN"/>
        </w:rPr>
      </w:pPr>
      <w:r w:rsidRPr="00AF5796">
        <w:rPr>
          <w:lang w:val="en-US" w:eastAsia="zh-CN"/>
        </w:rPr>
        <w:t>Estimation of mobile traffic by different service types globally</w:t>
      </w:r>
    </w:p>
    <w:p w:rsidR="005D2DA7" w:rsidRPr="00AF5796" w:rsidRDefault="005D2DA7" w:rsidP="00136E20">
      <w:pPr>
        <w:pStyle w:val="Figure"/>
        <w:rPr>
          <w:lang w:val="en-US" w:eastAsia="zh-CN"/>
        </w:rPr>
      </w:pPr>
      <w:r w:rsidRPr="00AF5796">
        <w:rPr>
          <w:noProof/>
          <w:lang w:val="en-US" w:eastAsia="zh-CN"/>
        </w:rPr>
        <w:drawing>
          <wp:inline distT="0" distB="0" distL="0" distR="0" wp14:anchorId="5195A7CB" wp14:editId="75530317">
            <wp:extent cx="5705297" cy="2684678"/>
            <wp:effectExtent l="19050" t="0" r="9703" b="1372"/>
            <wp:docPr id="3"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2DA7" w:rsidRPr="00AF5796" w:rsidRDefault="005D2DA7" w:rsidP="005D2DA7">
      <w:pPr>
        <w:pStyle w:val="TableNo"/>
        <w:spacing w:before="0"/>
        <w:rPr>
          <w:lang w:val="en-US" w:eastAsia="ja-JP"/>
        </w:rPr>
      </w:pPr>
      <w:r w:rsidRPr="00AF5796">
        <w:rPr>
          <w:lang w:val="en-US" w:eastAsia="zh-CN"/>
        </w:rPr>
        <w:t xml:space="preserve">TABLE </w:t>
      </w:r>
      <w:r w:rsidRPr="00AF5796">
        <w:rPr>
          <w:lang w:val="en-US" w:eastAsia="ja-JP"/>
        </w:rPr>
        <w:t>9</w:t>
      </w:r>
    </w:p>
    <w:p w:rsidR="005D2DA7" w:rsidRPr="00AF5796" w:rsidRDefault="005D2DA7" w:rsidP="005D2DA7">
      <w:pPr>
        <w:pStyle w:val="TableTitle0"/>
        <w:rPr>
          <w:sz w:val="20"/>
          <w:lang w:val="en-US"/>
        </w:rPr>
      </w:pPr>
      <w:r w:rsidRPr="00AF5796">
        <w:rPr>
          <w:sz w:val="20"/>
          <w:lang w:val="en-US"/>
        </w:rPr>
        <w:t>Statistical information used in the estimation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336"/>
        <w:gridCol w:w="1335"/>
        <w:gridCol w:w="1335"/>
        <w:gridCol w:w="1335"/>
      </w:tblGrid>
      <w:tr w:rsidR="005D2DA7" w:rsidRPr="00AF5796" w:rsidTr="008A40E0">
        <w:trPr>
          <w:jc w:val="center"/>
        </w:trPr>
        <w:tc>
          <w:tcPr>
            <w:tcW w:w="2551" w:type="dxa"/>
          </w:tcPr>
          <w:p w:rsidR="005D2DA7" w:rsidRPr="00AF5796" w:rsidRDefault="005D2DA7" w:rsidP="00136E20">
            <w:pPr>
              <w:pStyle w:val="Tablehead"/>
              <w:rPr>
                <w:lang w:val="en-US" w:eastAsia="ja-JP"/>
              </w:rPr>
            </w:pPr>
            <w:r w:rsidRPr="00AF5796">
              <w:rPr>
                <w:lang w:val="en-US" w:eastAsia="ja-JP"/>
              </w:rPr>
              <w:t>Service Type (TB/Month)</w:t>
            </w:r>
          </w:p>
        </w:tc>
        <w:tc>
          <w:tcPr>
            <w:tcW w:w="1077" w:type="dxa"/>
          </w:tcPr>
          <w:p w:rsidR="005D2DA7" w:rsidRPr="00AF5796" w:rsidRDefault="005D2DA7" w:rsidP="00136E20">
            <w:pPr>
              <w:pStyle w:val="Tablehead"/>
              <w:rPr>
                <w:lang w:val="en-US" w:eastAsia="ja-JP"/>
              </w:rPr>
            </w:pPr>
            <w:r w:rsidRPr="00AF5796">
              <w:rPr>
                <w:lang w:val="en-US" w:eastAsia="ja-JP"/>
              </w:rPr>
              <w:t>2010</w:t>
            </w:r>
          </w:p>
        </w:tc>
        <w:tc>
          <w:tcPr>
            <w:tcW w:w="1077" w:type="dxa"/>
          </w:tcPr>
          <w:p w:rsidR="005D2DA7" w:rsidRPr="00AF5796" w:rsidRDefault="005D2DA7" w:rsidP="00136E20">
            <w:pPr>
              <w:pStyle w:val="Tablehead"/>
              <w:rPr>
                <w:lang w:val="en-US" w:eastAsia="ja-JP"/>
              </w:rPr>
            </w:pPr>
            <w:r w:rsidRPr="00AF5796">
              <w:rPr>
                <w:lang w:val="en-US" w:eastAsia="ja-JP"/>
              </w:rPr>
              <w:t>2011</w:t>
            </w:r>
          </w:p>
        </w:tc>
        <w:tc>
          <w:tcPr>
            <w:tcW w:w="1077" w:type="dxa"/>
          </w:tcPr>
          <w:p w:rsidR="005D2DA7" w:rsidRPr="00AF5796" w:rsidRDefault="005D2DA7" w:rsidP="00136E20">
            <w:pPr>
              <w:pStyle w:val="Tablehead"/>
              <w:rPr>
                <w:lang w:val="en-US" w:eastAsia="ja-JP"/>
              </w:rPr>
            </w:pPr>
            <w:r w:rsidRPr="00AF5796">
              <w:rPr>
                <w:lang w:val="en-US" w:eastAsia="ja-JP"/>
              </w:rPr>
              <w:t>2012</w:t>
            </w:r>
          </w:p>
        </w:tc>
        <w:tc>
          <w:tcPr>
            <w:tcW w:w="1077" w:type="dxa"/>
          </w:tcPr>
          <w:p w:rsidR="005D2DA7" w:rsidRPr="00AF5796" w:rsidRDefault="005D2DA7" w:rsidP="00136E20">
            <w:pPr>
              <w:pStyle w:val="Tablehead"/>
              <w:rPr>
                <w:lang w:val="en-US" w:eastAsia="ja-JP"/>
              </w:rPr>
            </w:pPr>
            <w:r w:rsidRPr="00AF5796">
              <w:rPr>
                <w:lang w:val="en-US" w:eastAsia="ja-JP"/>
              </w:rPr>
              <w:t>2013</w:t>
            </w:r>
          </w:p>
        </w:tc>
      </w:tr>
      <w:tr w:rsidR="005D2DA7" w:rsidRPr="00AF5796" w:rsidTr="008A40E0">
        <w:trPr>
          <w:jc w:val="center"/>
        </w:trPr>
        <w:tc>
          <w:tcPr>
            <w:tcW w:w="2551" w:type="dxa"/>
          </w:tcPr>
          <w:p w:rsidR="005D2DA7" w:rsidRPr="00AF5796" w:rsidRDefault="005D2DA7" w:rsidP="00D513B3">
            <w:pPr>
              <w:pStyle w:val="TableText0"/>
              <w:rPr>
                <w:sz w:val="20"/>
                <w:lang w:val="en-US" w:eastAsia="ja-JP"/>
              </w:rPr>
            </w:pPr>
            <w:r w:rsidRPr="00AF5796">
              <w:rPr>
                <w:sz w:val="20"/>
                <w:lang w:val="en-US" w:eastAsia="ja-JP"/>
              </w:rPr>
              <w:t>Non-Video</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111 272</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266 387</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406 124</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669 249</w:t>
            </w:r>
          </w:p>
        </w:tc>
      </w:tr>
      <w:tr w:rsidR="005D2DA7" w:rsidRPr="00AF5796" w:rsidTr="008A40E0">
        <w:trPr>
          <w:jc w:val="center"/>
        </w:trPr>
        <w:tc>
          <w:tcPr>
            <w:tcW w:w="2551" w:type="dxa"/>
          </w:tcPr>
          <w:p w:rsidR="005D2DA7" w:rsidRPr="00AF5796" w:rsidRDefault="005D2DA7" w:rsidP="00D513B3">
            <w:pPr>
              <w:pStyle w:val="TableText0"/>
              <w:rPr>
                <w:sz w:val="20"/>
                <w:lang w:val="en-US" w:eastAsia="ja-JP"/>
              </w:rPr>
            </w:pPr>
            <w:r w:rsidRPr="00AF5796">
              <w:rPr>
                <w:sz w:val="20"/>
                <w:lang w:val="en-US" w:eastAsia="ja-JP"/>
              </w:rPr>
              <w:t>Video</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117 943</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307 869</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455 216</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858 026</w:t>
            </w:r>
          </w:p>
        </w:tc>
      </w:tr>
      <w:tr w:rsidR="005D2DA7" w:rsidRPr="00AF5796" w:rsidTr="008A40E0">
        <w:trPr>
          <w:jc w:val="center"/>
        </w:trPr>
        <w:tc>
          <w:tcPr>
            <w:tcW w:w="2551" w:type="dxa"/>
          </w:tcPr>
          <w:p w:rsidR="005D2DA7" w:rsidRPr="00AF5796" w:rsidRDefault="005D2DA7" w:rsidP="00D513B3">
            <w:pPr>
              <w:pStyle w:val="TableText0"/>
              <w:rPr>
                <w:sz w:val="20"/>
                <w:lang w:val="en-US" w:eastAsia="ja-JP"/>
              </w:rPr>
            </w:pPr>
            <w:r w:rsidRPr="00AF5796">
              <w:rPr>
                <w:sz w:val="20"/>
                <w:lang w:val="en-US" w:eastAsia="ja-JP"/>
              </w:rPr>
              <w:t>M2M</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7 462</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23 009</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23 566</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49 973</w:t>
            </w:r>
          </w:p>
        </w:tc>
      </w:tr>
    </w:tbl>
    <w:p w:rsidR="005D2DA7" w:rsidRPr="00AF5796" w:rsidRDefault="005D2DA7" w:rsidP="00136E20">
      <w:pPr>
        <w:pStyle w:val="Tablefin"/>
        <w:rPr>
          <w:lang w:val="en-US" w:eastAsia="zh-CN"/>
        </w:rPr>
      </w:pPr>
    </w:p>
    <w:p w:rsidR="005D2DA7" w:rsidRPr="00AF5796" w:rsidRDefault="005D2DA7" w:rsidP="005D2DA7">
      <w:pPr>
        <w:rPr>
          <w:lang w:val="en-US" w:eastAsia="zh-CN"/>
        </w:rPr>
      </w:pPr>
      <w:r w:rsidRPr="00AF5796">
        <w:rPr>
          <w:lang w:val="en-US" w:eastAsia="zh-CN"/>
        </w:rPr>
        <w:t xml:space="preserve">Mobile internet traffic and M2M traffic will grow dramatically after year 2020. Video traffic will be 4.2 times than non-video in 2025 and 6 times in 2030. The traffic volume consumed by M2M services will be 7% of the total in 2020 and 12% of the total in 2030. </w:t>
      </w:r>
    </w:p>
    <w:p w:rsidR="005D2DA7" w:rsidRPr="00AF5796" w:rsidRDefault="005D2DA7" w:rsidP="00BE3007">
      <w:pPr>
        <w:pStyle w:val="Headingb"/>
        <w:rPr>
          <w:lang w:val="en-US" w:eastAsia="ja-JP"/>
        </w:rPr>
      </w:pPr>
      <w:r w:rsidRPr="00AF5796">
        <w:rPr>
          <w:lang w:val="en-US" w:eastAsia="ja-JP"/>
        </w:rPr>
        <w:t>Estimation of m</w:t>
      </w:r>
      <w:r w:rsidRPr="00AF5796">
        <w:rPr>
          <w:lang w:val="en-US" w:eastAsia="zh-CN"/>
        </w:rPr>
        <w:t>obile traffic per subscription</w:t>
      </w:r>
    </w:p>
    <w:p w:rsidR="005D2DA7" w:rsidRPr="00AF5796" w:rsidRDefault="005D2DA7" w:rsidP="005D2DA7">
      <w:pPr>
        <w:rPr>
          <w:lang w:val="en-US" w:eastAsia="zh-CN"/>
        </w:rPr>
      </w:pPr>
      <w:r w:rsidRPr="00AF5796">
        <w:rPr>
          <w:lang w:val="en-US" w:eastAsia="zh-CN"/>
        </w:rPr>
        <w:t>Estimation 1 provided some figures using a method based on the estimated results of global mobile traffic divided by global mobile subscriptions (M2M traffic was not included).</w:t>
      </w:r>
    </w:p>
    <w:p w:rsidR="005D2DA7" w:rsidRPr="00AF5796" w:rsidRDefault="005D2DA7" w:rsidP="005D2DA7">
      <w:pPr>
        <w:rPr>
          <w:highlight w:val="yellow"/>
          <w:lang w:val="en-US"/>
        </w:rPr>
      </w:pPr>
      <w:r w:rsidRPr="00AF5796">
        <w:rPr>
          <w:lang w:val="en-US"/>
        </w:rPr>
        <w:t>Figure 10 shows estimation of average global mobile traffic</w:t>
      </w:r>
      <w:r w:rsidRPr="00AF5796">
        <w:rPr>
          <w:lang w:val="en-US" w:eastAsia="zh-CN"/>
        </w:rPr>
        <w:t xml:space="preserve"> per subscriptions per month </w:t>
      </w:r>
      <w:r w:rsidRPr="00AF5796">
        <w:rPr>
          <w:lang w:val="en-US"/>
        </w:rPr>
        <w:t>from 2020 to 2030.</w:t>
      </w:r>
    </w:p>
    <w:p w:rsidR="005D2DA7" w:rsidRPr="00AF5796" w:rsidRDefault="005D2DA7" w:rsidP="005D2DA7">
      <w:pPr>
        <w:pStyle w:val="FigureNo"/>
        <w:rPr>
          <w:lang w:val="en-US" w:eastAsia="ja-JP"/>
        </w:rPr>
      </w:pPr>
      <w:r w:rsidRPr="00AF5796">
        <w:rPr>
          <w:lang w:val="en-US"/>
        </w:rPr>
        <w:lastRenderedPageBreak/>
        <w:t xml:space="preserve">Figure </w:t>
      </w:r>
      <w:r w:rsidRPr="00AF5796">
        <w:rPr>
          <w:lang w:val="en-US" w:eastAsia="ja-JP"/>
        </w:rPr>
        <w:t>10</w:t>
      </w:r>
    </w:p>
    <w:p w:rsidR="005D2DA7" w:rsidRPr="00AF5796" w:rsidRDefault="005D2DA7" w:rsidP="005D2DA7">
      <w:pPr>
        <w:pStyle w:val="Figuretitle"/>
        <w:spacing w:after="0"/>
        <w:rPr>
          <w:lang w:val="en-US" w:eastAsia="zh-CN"/>
        </w:rPr>
      </w:pPr>
      <w:r w:rsidRPr="00AF5796">
        <w:rPr>
          <w:lang w:val="en-US"/>
        </w:rPr>
        <w:t xml:space="preserve">Estimations of </w:t>
      </w:r>
      <w:r w:rsidRPr="00AF5796">
        <w:rPr>
          <w:lang w:val="en-US" w:eastAsia="zh-CN"/>
        </w:rPr>
        <w:t>global mobile traffic per subscriptions per month</w:t>
      </w:r>
      <w:r w:rsidRPr="00AF5796">
        <w:rPr>
          <w:lang w:val="en-US"/>
        </w:rPr>
        <w:t xml:space="preserve"> from 2020 to 2030</w:t>
      </w:r>
    </w:p>
    <w:p w:rsidR="005D2DA7" w:rsidRPr="00AF5796" w:rsidRDefault="005D2DA7" w:rsidP="005D2DA7">
      <w:pPr>
        <w:pStyle w:val="Figuretitle"/>
        <w:rPr>
          <w:lang w:val="en-US"/>
        </w:rPr>
      </w:pPr>
      <w:r w:rsidRPr="00AF5796">
        <w:rPr>
          <w:sz w:val="21"/>
          <w:lang w:val="en-US" w:eastAsia="zh-CN"/>
        </w:rPr>
        <w:t>(M2M not included)</w:t>
      </w:r>
    </w:p>
    <w:p w:rsidR="005D2DA7" w:rsidRPr="00AF5796" w:rsidRDefault="005D2DA7" w:rsidP="00136E20">
      <w:pPr>
        <w:pStyle w:val="Figure"/>
        <w:rPr>
          <w:highlight w:val="yellow"/>
          <w:lang w:val="en-US"/>
        </w:rPr>
      </w:pPr>
      <w:r w:rsidRPr="00AF5796">
        <w:rPr>
          <w:noProof/>
          <w:lang w:val="en-US" w:eastAsia="zh-CN"/>
        </w:rPr>
        <w:drawing>
          <wp:inline distT="0" distB="0" distL="0" distR="0" wp14:anchorId="0CAA7C39" wp14:editId="036C5BB8">
            <wp:extent cx="5465553" cy="2613804"/>
            <wp:effectExtent l="19050" t="0" r="20847" b="0"/>
            <wp:docPr id="9"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2DA7" w:rsidRPr="00AF5796" w:rsidRDefault="005D2DA7" w:rsidP="005D2DA7">
      <w:pPr>
        <w:rPr>
          <w:lang w:val="en-US"/>
        </w:rPr>
      </w:pPr>
      <w:r w:rsidRPr="00AF5796">
        <w:rPr>
          <w:lang w:val="en-US"/>
        </w:rPr>
        <w:t>The popularity of large-screen smart, high resolution devices is still a key driver of the growth of mobile data traffic. As the convenient and high performance smart devices like smartphones and tablets are widely used around world, in addition to the growth of mobile subscriptions, the mobile traffic volume consumed by each user will increase continually. It is estimated that each subscriber will consume 39.4 GB of data traffic per month in 2025 in average and this amount will be around 257 GB in 2030.</w:t>
      </w:r>
    </w:p>
    <w:p w:rsidR="005D2DA7" w:rsidRPr="00AF5796" w:rsidRDefault="005D2DA7" w:rsidP="005D2DA7">
      <w:pPr>
        <w:pStyle w:val="Heading2"/>
        <w:rPr>
          <w:b w:val="0"/>
          <w:lang w:val="en-US" w:eastAsia="ja-JP"/>
        </w:rPr>
      </w:pPr>
      <w:bookmarkStart w:id="33" w:name="_Toc427932302"/>
      <w:bookmarkStart w:id="34" w:name="_Toc427935111"/>
      <w:r w:rsidRPr="00AF5796">
        <w:rPr>
          <w:lang w:val="en-US" w:eastAsia="ja-JP"/>
        </w:rPr>
        <w:t>5</w:t>
      </w:r>
      <w:r w:rsidRPr="00AF5796">
        <w:rPr>
          <w:lang w:val="en-US"/>
        </w:rPr>
        <w:t>.</w:t>
      </w:r>
      <w:r w:rsidRPr="00AF5796">
        <w:rPr>
          <w:lang w:val="en-US" w:eastAsia="ja-JP"/>
        </w:rPr>
        <w:t>2</w:t>
      </w:r>
      <w:r w:rsidRPr="00AF5796">
        <w:rPr>
          <w:lang w:val="en-US"/>
        </w:rPr>
        <w:tab/>
        <w:t>Estimation 2</w:t>
      </w:r>
      <w:r w:rsidRPr="00AF5796">
        <w:rPr>
          <w:rStyle w:val="FootnoteReference"/>
          <w:rFonts w:eastAsia="MS Mincho"/>
          <w:b w:val="0"/>
          <w:lang w:val="en-US"/>
        </w:rPr>
        <w:footnoteReference w:id="21"/>
      </w:r>
      <w:bookmarkEnd w:id="33"/>
      <w:bookmarkEnd w:id="34"/>
    </w:p>
    <w:p w:rsidR="005D2DA7" w:rsidRPr="00AF5796" w:rsidRDefault="005D2DA7" w:rsidP="005D2DA7">
      <w:pPr>
        <w:rPr>
          <w:lang w:val="en-US" w:eastAsia="ja-JP"/>
        </w:rPr>
      </w:pPr>
      <w:r w:rsidRPr="00AF5796">
        <w:rPr>
          <w:lang w:val="en-US"/>
        </w:rPr>
        <w:t>One of the estimate</w:t>
      </w:r>
      <w:r w:rsidR="00567C49">
        <w:rPr>
          <w:lang w:val="en-US"/>
        </w:rPr>
        <w:t>s</w:t>
      </w:r>
      <w:r w:rsidRPr="00AF5796">
        <w:rPr>
          <w:lang w:val="en-US"/>
        </w:rPr>
        <w:t xml:space="preserve"> as indicated in </w:t>
      </w:r>
      <w:r w:rsidR="00207607" w:rsidRPr="00AF5796">
        <w:rPr>
          <w:lang w:val="en-US"/>
        </w:rPr>
        <w:t>Fig.</w:t>
      </w:r>
      <w:r w:rsidRPr="00AF5796">
        <w:rPr>
          <w:lang w:val="en-US"/>
        </w:rPr>
        <w:t xml:space="preserve"> </w:t>
      </w:r>
      <w:r w:rsidRPr="00AF5796">
        <w:rPr>
          <w:lang w:val="en-US" w:eastAsia="ja-JP"/>
        </w:rPr>
        <w:t>11</w:t>
      </w:r>
      <w:r w:rsidRPr="00AF5796">
        <w:rPr>
          <w:lang w:val="en-US"/>
        </w:rPr>
        <w:t xml:space="preserve"> covers a period of 2020-2030, building on the estimates done in Report ITU-R M.2243. </w:t>
      </w:r>
    </w:p>
    <w:p w:rsidR="005D2DA7" w:rsidRPr="00AF5796" w:rsidRDefault="005D2DA7" w:rsidP="005D2DA7">
      <w:pPr>
        <w:rPr>
          <w:lang w:val="en-US"/>
        </w:rPr>
      </w:pPr>
      <w:r w:rsidRPr="00AF5796">
        <w:rPr>
          <w:lang w:val="en-US"/>
        </w:rPr>
        <w:t xml:space="preserve">Figure </w:t>
      </w:r>
      <w:r w:rsidRPr="00AF5796">
        <w:rPr>
          <w:lang w:val="en-US" w:eastAsia="ja-JP"/>
        </w:rPr>
        <w:t>11</w:t>
      </w:r>
      <w:r w:rsidRPr="00AF5796">
        <w:rPr>
          <w:lang w:val="en-US"/>
        </w:rPr>
        <w:t xml:space="preserve"> shows one possible scenario of mobile traffic growth in ZB</w:t>
      </w:r>
      <w:r w:rsidRPr="00AF5796">
        <w:rPr>
          <w:vertAlign w:val="superscript"/>
          <w:lang w:val="en-US"/>
        </w:rPr>
        <w:footnoteReference w:id="22"/>
      </w:r>
      <w:r w:rsidRPr="00AF5796">
        <w:rPr>
          <w:lang w:val="en-US"/>
        </w:rPr>
        <w:t>/year between the years 2020 and 2030. Note that this is called a scenario, not a forecast, because it is based on a set of assumptions which, if changed could lead to a different scenario.</w:t>
      </w:r>
    </w:p>
    <w:p w:rsidR="005D2DA7" w:rsidRPr="00AF5796" w:rsidRDefault="005D2DA7" w:rsidP="005D2DA7">
      <w:pPr>
        <w:rPr>
          <w:lang w:val="en-US"/>
        </w:rPr>
      </w:pPr>
      <w:r w:rsidRPr="00AF5796">
        <w:rPr>
          <w:lang w:val="en-US"/>
        </w:rPr>
        <w:t xml:space="preserve">The main assumptions for this possible scenario are a continued growth in penetration of smartphones, </w:t>
      </w:r>
      <w:r w:rsidRPr="00AF5796">
        <w:rPr>
          <w:lang w:val="en-US" w:eastAsia="ja-JP"/>
        </w:rPr>
        <w:t>t</w:t>
      </w:r>
      <w:r w:rsidRPr="00AF5796">
        <w:rPr>
          <w:lang w:val="en-US"/>
        </w:rPr>
        <w:t>ablets</w:t>
      </w:r>
      <w:r w:rsidRPr="00AF5796">
        <w:rPr>
          <w:lang w:val="en-US" w:eastAsia="ja-JP"/>
        </w:rPr>
        <w:t>,</w:t>
      </w:r>
      <w:r w:rsidRPr="00AF5796">
        <w:rPr>
          <w:lang w:val="en-US"/>
        </w:rPr>
        <w:t xml:space="preserve"> etc</w:t>
      </w:r>
      <w:r w:rsidRPr="00AF5796">
        <w:rPr>
          <w:lang w:val="en-US" w:eastAsia="ja-JP"/>
        </w:rPr>
        <w:t>.</w:t>
      </w:r>
      <w:r w:rsidRPr="00AF5796">
        <w:rPr>
          <w:lang w:val="en-US"/>
        </w:rPr>
        <w:t xml:space="preserve"> – in many regions limited (for smartphones) by population as penetration approaches 100% – and a continuous growth in traffic by each device/user which assumes continuous evolution of screen resolution and increasing view</w:t>
      </w:r>
      <w:r w:rsidR="00DE5E1D">
        <w:rPr>
          <w:lang w:val="en-US"/>
        </w:rPr>
        <w:t>ing times for video which are</w:t>
      </w:r>
      <w:r w:rsidRPr="00AF5796">
        <w:rPr>
          <w:lang w:val="en-US"/>
        </w:rPr>
        <w:t xml:space="preserve"> the main contributors to traffic volumes. Each smartphone, as of the year 2013, generates 600 MB/month of traffic based on a global average, noting that this figure varies consider</w:t>
      </w:r>
      <w:r w:rsidR="00DE5E1D">
        <w:rPr>
          <w:lang w:val="en-US"/>
        </w:rPr>
        <w:t>ably among countries. While the</w:t>
      </w:r>
      <w:r w:rsidRPr="00AF5796">
        <w:rPr>
          <w:lang w:val="en-US"/>
        </w:rPr>
        <w:t xml:space="preserve"> current </w:t>
      </w:r>
      <w:r w:rsidRPr="00AF5796">
        <w:rPr>
          <w:lang w:val="en-US"/>
        </w:rPr>
        <w:lastRenderedPageBreak/>
        <w:t>grow</w:t>
      </w:r>
      <w:r w:rsidR="00DE5E1D">
        <w:rPr>
          <w:lang w:val="en-US"/>
        </w:rPr>
        <w:t>th rate in mobile internet traffic</w:t>
      </w:r>
      <w:r w:rsidRPr="00AF5796">
        <w:rPr>
          <w:lang w:val="en-US"/>
        </w:rPr>
        <w:t xml:space="preserve"> is 30%, based on estimates of historical development of internet traffic and consideration of dilution by less-affluent subscribers in the later years, our reasoning is that the per device traffic will gradually decline from the current 30% to 15% through the year 2030. </w:t>
      </w:r>
    </w:p>
    <w:p w:rsidR="005D2DA7" w:rsidRPr="00AF5796" w:rsidRDefault="005D2DA7" w:rsidP="005D2DA7">
      <w:pPr>
        <w:rPr>
          <w:lang w:val="en-US"/>
        </w:rPr>
      </w:pPr>
      <w:r w:rsidRPr="00AF5796">
        <w:rPr>
          <w:lang w:val="en-US"/>
        </w:rPr>
        <w:t xml:space="preserve">Another assumption is that the resolution of pictures and video content will be raised significantly; in addition, screen sizes will also be larger. The screens referred to are phones, tablets and PCs (not TVs), for example sizes for smartphones/tablets could grow from 5½ inches to 8 inches. The screen resolution is also expected to increase while it is true that codec efficiency increases might compensate, the screen resolution will grow faster, so the effective data-rate will increase. </w:t>
      </w:r>
    </w:p>
    <w:p w:rsidR="005D2DA7" w:rsidRPr="00AF5796" w:rsidRDefault="005D2DA7" w:rsidP="006D0884">
      <w:pPr>
        <w:rPr>
          <w:highlight w:val="cyan"/>
          <w:lang w:val="en-US"/>
        </w:rPr>
      </w:pPr>
      <w:r w:rsidRPr="00AF5796">
        <w:rPr>
          <w:lang w:val="en-US"/>
        </w:rPr>
        <w:t>Other assumptions are increased mobile enterprise connectivity; increased M2M traffic – but these may, or may not, be excessively high; we have therefore applied a moderate level in this scenario. The model is considered robust, as it is built on well-known and well-observed mechanisms. It does not take into account any significantly disruptive forces, nor is it exhaustive in its approach where all possible scenarios are examined. Rather, if the traffic grows as it does today – with new applications similar to Facebook, Twitter, You</w:t>
      </w:r>
      <w:r w:rsidR="006D0884">
        <w:rPr>
          <w:lang w:val="en-US"/>
        </w:rPr>
        <w:t>T</w:t>
      </w:r>
      <w:r w:rsidRPr="00AF5796">
        <w:rPr>
          <w:lang w:val="en-US"/>
        </w:rPr>
        <w:t>ube, etc. – the scenario presented above is one possibility of what the traffic will look like in the years 2020</w:t>
      </w:r>
      <w:r w:rsidR="00090153" w:rsidRPr="00AF5796">
        <w:rPr>
          <w:lang w:val="en-US"/>
        </w:rPr>
        <w:t>–</w:t>
      </w:r>
      <w:r w:rsidRPr="00AF5796">
        <w:rPr>
          <w:lang w:val="en-US"/>
        </w:rPr>
        <w:t>2030.</w:t>
      </w:r>
      <w:r w:rsidRPr="00AF5796">
        <w:rPr>
          <w:highlight w:val="cyan"/>
          <w:lang w:val="en-US"/>
        </w:rPr>
        <w:t xml:space="preserve"> </w:t>
      </w:r>
    </w:p>
    <w:p w:rsidR="005D2DA7" w:rsidRPr="00AF5796" w:rsidRDefault="005D2DA7" w:rsidP="005D2DA7">
      <w:pPr>
        <w:pStyle w:val="FigureNo"/>
        <w:rPr>
          <w:lang w:val="en-US" w:eastAsia="ja-JP"/>
        </w:rPr>
      </w:pPr>
      <w:r w:rsidRPr="00AF5796">
        <w:rPr>
          <w:lang w:val="en-US"/>
        </w:rPr>
        <w:t xml:space="preserve">Figure </w:t>
      </w:r>
      <w:r w:rsidRPr="00AF5796">
        <w:rPr>
          <w:lang w:val="en-US" w:eastAsia="ja-JP"/>
        </w:rPr>
        <w:t>11</w:t>
      </w:r>
    </w:p>
    <w:p w:rsidR="005D2DA7" w:rsidRPr="00AF5796" w:rsidRDefault="005D2DA7" w:rsidP="005D2DA7">
      <w:pPr>
        <w:pStyle w:val="Figuretitle"/>
        <w:spacing w:after="0"/>
        <w:rPr>
          <w:lang w:val="en-US"/>
        </w:rPr>
      </w:pPr>
      <w:r w:rsidRPr="00AF5796">
        <w:rPr>
          <w:lang w:val="en-US"/>
        </w:rPr>
        <w:t>Scenario of global mobile traffic growth in ZB/year between 2020 and 2030</w:t>
      </w:r>
    </w:p>
    <w:p w:rsidR="005D2DA7" w:rsidRPr="00AF5796" w:rsidRDefault="005D2DA7" w:rsidP="00BE3007">
      <w:pPr>
        <w:pStyle w:val="Figure"/>
        <w:rPr>
          <w:noProof/>
          <w:lang w:val="en-US"/>
        </w:rPr>
      </w:pPr>
      <w:r w:rsidRPr="00AF5796">
        <w:rPr>
          <w:noProof/>
          <w:lang w:val="en-US" w:eastAsia="zh-CN"/>
        </w:rPr>
        <w:drawing>
          <wp:inline distT="0" distB="0" distL="0" distR="0" wp14:anchorId="6F07607B" wp14:editId="090D4932">
            <wp:extent cx="5435199" cy="3496666"/>
            <wp:effectExtent l="19050" t="0" r="0" b="0"/>
            <wp:docPr id="18" name="Picture 1" descr="cid:image001.png@01D09236.8ED29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236.8ED298C0"/>
                    <pic:cNvPicPr>
                      <a:picLocks noChangeAspect="1" noChangeArrowheads="1"/>
                    </pic:cNvPicPr>
                  </pic:nvPicPr>
                  <pic:blipFill>
                    <a:blip r:embed="rId30" r:link="rId31" cstate="print"/>
                    <a:srcRect/>
                    <a:stretch>
                      <a:fillRect/>
                    </a:stretch>
                  </pic:blipFill>
                  <pic:spPr bwMode="auto">
                    <a:xfrm>
                      <a:off x="0" y="0"/>
                      <a:ext cx="5435199" cy="3496666"/>
                    </a:xfrm>
                    <a:prstGeom prst="rect">
                      <a:avLst/>
                    </a:prstGeom>
                    <a:noFill/>
                    <a:ln w="9525">
                      <a:noFill/>
                      <a:miter lim="800000"/>
                      <a:headEnd/>
                      <a:tailEnd/>
                    </a:ln>
                  </pic:spPr>
                </pic:pic>
              </a:graphicData>
            </a:graphic>
          </wp:inline>
        </w:drawing>
      </w:r>
    </w:p>
    <w:p w:rsidR="005D2DA7" w:rsidRPr="00AF5796" w:rsidRDefault="005D2DA7" w:rsidP="005D2DA7">
      <w:pPr>
        <w:pStyle w:val="Heading2"/>
        <w:spacing w:before="600"/>
        <w:rPr>
          <w:b w:val="0"/>
          <w:lang w:val="en-US" w:eastAsia="ja-JP"/>
        </w:rPr>
      </w:pPr>
      <w:bookmarkStart w:id="35" w:name="_Toc427932303"/>
      <w:bookmarkStart w:id="36" w:name="_Toc427935112"/>
      <w:r w:rsidRPr="00AF5796">
        <w:rPr>
          <w:lang w:val="en-US" w:eastAsia="ja-JP"/>
        </w:rPr>
        <w:t>5</w:t>
      </w:r>
      <w:r w:rsidRPr="00AF5796">
        <w:rPr>
          <w:lang w:val="en-US"/>
        </w:rPr>
        <w:t>.</w:t>
      </w:r>
      <w:r w:rsidRPr="00AF5796">
        <w:rPr>
          <w:lang w:val="en-US" w:eastAsia="ja-JP"/>
        </w:rPr>
        <w:t>3</w:t>
      </w:r>
      <w:r w:rsidRPr="00AF5796">
        <w:rPr>
          <w:lang w:val="en-US"/>
        </w:rPr>
        <w:tab/>
        <w:t>Estimation 3</w:t>
      </w:r>
      <w:r w:rsidRPr="00AF5796">
        <w:rPr>
          <w:rStyle w:val="FootnoteReference"/>
          <w:rFonts w:eastAsia="MS Mincho"/>
          <w:b w:val="0"/>
          <w:lang w:val="en-US"/>
        </w:rPr>
        <w:footnoteReference w:id="23"/>
      </w:r>
      <w:bookmarkEnd w:id="35"/>
      <w:bookmarkEnd w:id="36"/>
    </w:p>
    <w:p w:rsidR="005D2DA7" w:rsidRPr="00AF5796" w:rsidRDefault="005D2DA7" w:rsidP="00090153">
      <w:pPr>
        <w:rPr>
          <w:lang w:val="en-US" w:eastAsia="ja-JP"/>
        </w:rPr>
      </w:pPr>
      <w:r w:rsidRPr="00AF5796">
        <w:rPr>
          <w:lang w:val="en-US"/>
        </w:rPr>
        <w:t>Figure 12 shows another study forecast as a combined plot of the actual and forecasted global mobile data traffic growt</w:t>
      </w:r>
      <w:r w:rsidR="00650404" w:rsidRPr="00AF5796">
        <w:rPr>
          <w:lang w:val="en-US"/>
        </w:rPr>
        <w:t>h for the time periods 2010</w:t>
      </w:r>
      <w:r w:rsidR="00090153" w:rsidRPr="00AF5796">
        <w:rPr>
          <w:lang w:val="en-US"/>
        </w:rPr>
        <w:t>–</w:t>
      </w:r>
      <w:r w:rsidR="00650404" w:rsidRPr="00AF5796">
        <w:rPr>
          <w:lang w:val="en-US"/>
        </w:rPr>
        <w:t>2013 and 2014</w:t>
      </w:r>
      <w:r w:rsidR="00090153" w:rsidRPr="00AF5796">
        <w:rPr>
          <w:lang w:val="en-US"/>
        </w:rPr>
        <w:t>–</w:t>
      </w:r>
      <w:r w:rsidRPr="00AF5796">
        <w:rPr>
          <w:lang w:val="en-US"/>
        </w:rPr>
        <w:t>2030, respectively. The cumulative compound annual growth rate (CAGR) relative to 2010 was dep</w:t>
      </w:r>
      <w:r w:rsidR="00650404" w:rsidRPr="00AF5796">
        <w:rPr>
          <w:lang w:val="en-US"/>
        </w:rPr>
        <w:t>icted. For the time period 2010</w:t>
      </w:r>
      <w:r w:rsidR="00090153" w:rsidRPr="00AF5796">
        <w:rPr>
          <w:lang w:val="en-US"/>
        </w:rPr>
        <w:t>–</w:t>
      </w:r>
      <w:r w:rsidRPr="00AF5796">
        <w:rPr>
          <w:lang w:val="en-US"/>
        </w:rPr>
        <w:t>2018 the actual and forecasted CAGR values provided in the “CISCO Visual Networking Index: Global Mobile Data Traffic Forecast Update” white papers are shown in the bar plots</w:t>
      </w:r>
      <w:r w:rsidRPr="00AF5796">
        <w:rPr>
          <w:lang w:val="en-US"/>
        </w:rPr>
        <w:fldChar w:fldCharType="begin"/>
      </w:r>
      <w:r w:rsidRPr="00AF5796">
        <w:rPr>
          <w:lang w:val="en-US"/>
        </w:rPr>
        <w:instrText xml:space="preserve"> NOTEREF _Ref422143559 \h  \* MERGEFORMAT </w:instrText>
      </w:r>
      <w:r w:rsidRPr="00AF5796">
        <w:rPr>
          <w:lang w:val="en-US"/>
        </w:rPr>
      </w:r>
      <w:r w:rsidRPr="00AF5796">
        <w:rPr>
          <w:lang w:val="en-US"/>
        </w:rPr>
        <w:fldChar w:fldCharType="separate"/>
      </w:r>
      <w:r w:rsidR="003547D8" w:rsidRPr="003547D8">
        <w:rPr>
          <w:vertAlign w:val="superscript"/>
          <w:lang w:val="en-US"/>
        </w:rPr>
        <w:t>16</w:t>
      </w:r>
      <w:r w:rsidRPr="00AF5796">
        <w:rPr>
          <w:lang w:val="en-US"/>
        </w:rPr>
        <w:fldChar w:fldCharType="end"/>
      </w:r>
      <w:r w:rsidRPr="00AF5796">
        <w:rPr>
          <w:lang w:val="en-US"/>
        </w:rPr>
        <w:t>.</w:t>
      </w:r>
    </w:p>
    <w:p w:rsidR="005D2DA7" w:rsidRPr="00AF5796" w:rsidRDefault="005D2DA7" w:rsidP="005D2DA7">
      <w:pPr>
        <w:pStyle w:val="FigureNo"/>
        <w:spacing w:before="0"/>
        <w:rPr>
          <w:lang w:val="en-US" w:eastAsia="ja-JP"/>
        </w:rPr>
      </w:pPr>
      <w:r w:rsidRPr="00AF5796">
        <w:rPr>
          <w:lang w:val="en-US"/>
        </w:rPr>
        <w:lastRenderedPageBreak/>
        <w:t xml:space="preserve">Figure </w:t>
      </w:r>
      <w:r w:rsidRPr="00AF5796">
        <w:rPr>
          <w:lang w:val="en-US" w:eastAsia="ja-JP"/>
        </w:rPr>
        <w:t>12</w:t>
      </w:r>
    </w:p>
    <w:p w:rsidR="005D2DA7" w:rsidRPr="00AF5796" w:rsidRDefault="005D2DA7" w:rsidP="005D2DA7">
      <w:pPr>
        <w:pStyle w:val="Figuretitle"/>
        <w:rPr>
          <w:lang w:val="en-US"/>
        </w:rPr>
      </w:pPr>
      <w:r w:rsidRPr="00AF5796">
        <w:rPr>
          <w:lang w:val="en-US"/>
        </w:rPr>
        <w:t>Forecast from a study for global mobile broadband traffic growth for the period 2010 – 2030</w:t>
      </w:r>
    </w:p>
    <w:p w:rsidR="005D2DA7" w:rsidRPr="00AF5796" w:rsidRDefault="005D2DA7" w:rsidP="00046777">
      <w:pPr>
        <w:pStyle w:val="Figure"/>
        <w:rPr>
          <w:lang w:val="en-US"/>
        </w:rPr>
      </w:pPr>
      <w:r w:rsidRPr="00AF5796">
        <w:rPr>
          <w:noProof/>
          <w:lang w:val="en-US" w:eastAsia="zh-CN"/>
        </w:rPr>
        <w:drawing>
          <wp:inline distT="0" distB="0" distL="0" distR="0" wp14:anchorId="5DBDB60A" wp14:editId="51FD8449">
            <wp:extent cx="5981700" cy="4029075"/>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srcRect t="5509"/>
                    <a:stretch/>
                  </pic:blipFill>
                  <pic:spPr bwMode="auto">
                    <a:xfrm>
                      <a:off x="0" y="0"/>
                      <a:ext cx="5987167" cy="4032757"/>
                    </a:xfrm>
                    <a:prstGeom prst="rect">
                      <a:avLst/>
                    </a:prstGeom>
                    <a:noFill/>
                    <a:ln>
                      <a:noFill/>
                    </a:ln>
                    <a:extLst>
                      <a:ext uri="{53640926-AAD7-44D8-BBD7-CCE9431645EC}">
                        <a14:shadowObscured xmlns:a14="http://schemas.microsoft.com/office/drawing/2010/main"/>
                      </a:ext>
                    </a:extLst>
                  </pic:spPr>
                </pic:pic>
              </a:graphicData>
            </a:graphic>
          </wp:inline>
        </w:drawing>
      </w:r>
    </w:p>
    <w:p w:rsidR="005D2DA7" w:rsidRPr="00AF5796" w:rsidRDefault="005D2DA7" w:rsidP="008464CB">
      <w:pPr>
        <w:rPr>
          <w:lang w:val="en-US"/>
        </w:rPr>
      </w:pPr>
      <w:r w:rsidRPr="00AF5796">
        <w:rPr>
          <w:lang w:val="en-US"/>
        </w:rPr>
        <w:t>The forecast model used in this study for mobile broadband traffic for the entire time period 2010</w:t>
      </w:r>
      <w:r w:rsidR="008464CB" w:rsidRPr="00AF5796">
        <w:rPr>
          <w:lang w:val="en-US"/>
        </w:rPr>
        <w:noBreakHyphen/>
      </w:r>
      <w:r w:rsidRPr="00AF5796">
        <w:rPr>
          <w:lang w:val="en-US"/>
        </w:rPr>
        <w:t xml:space="preserve">2030 (blue lines) were based on the combination of three factors: </w:t>
      </w:r>
    </w:p>
    <w:p w:rsidR="005D2DA7" w:rsidRPr="00AF5796" w:rsidRDefault="005D2DA7" w:rsidP="005D2DA7">
      <w:pPr>
        <w:pStyle w:val="enumlev1"/>
        <w:rPr>
          <w:rFonts w:eastAsia="MS Mincho"/>
          <w:lang w:val="en-US"/>
        </w:rPr>
      </w:pPr>
      <w:r w:rsidRPr="00AF5796">
        <w:rPr>
          <w:rFonts w:eastAsia="MS Mincho"/>
          <w:lang w:val="en-US"/>
        </w:rPr>
        <w:t>–</w:t>
      </w:r>
      <w:r w:rsidRPr="00AF5796">
        <w:rPr>
          <w:rFonts w:eastAsia="MS Mincho"/>
          <w:lang w:val="en-US"/>
        </w:rPr>
        <w:tab/>
        <w:t>total subscription base (includes broadband and voice/SMS subscriptions) growth of 15% for ‘upper’ (light blue line) or 5% for ‘lower’ (dark blue line) forecast per year;</w:t>
      </w:r>
    </w:p>
    <w:p w:rsidR="005D2DA7" w:rsidRPr="00AF5796" w:rsidRDefault="005D2DA7" w:rsidP="00FD494A">
      <w:pPr>
        <w:pStyle w:val="enumlev1"/>
        <w:rPr>
          <w:rFonts w:eastAsia="MS Mincho"/>
          <w:lang w:val="en-US"/>
        </w:rPr>
      </w:pPr>
      <w:r w:rsidRPr="00AF5796">
        <w:rPr>
          <w:rFonts w:eastAsia="MS Mincho"/>
          <w:lang w:val="en-US"/>
        </w:rPr>
        <w:t>–</w:t>
      </w:r>
      <w:r w:rsidRPr="00AF5796">
        <w:rPr>
          <w:rFonts w:eastAsia="MS Mincho"/>
          <w:lang w:val="en-US"/>
        </w:rPr>
        <w:tab/>
        <w:t>broadband connectivity penetration in the subscription base to reach 100% by 2030 (grey</w:t>
      </w:r>
      <w:r w:rsidR="00FD494A" w:rsidRPr="00AF5796">
        <w:rPr>
          <w:rFonts w:eastAsia="MS Mincho"/>
          <w:lang w:val="en-US"/>
        </w:rPr>
        <w:t> </w:t>
      </w:r>
      <w:r w:rsidRPr="00AF5796">
        <w:rPr>
          <w:rFonts w:eastAsia="MS Mincho"/>
          <w:lang w:val="en-US"/>
        </w:rPr>
        <w:t xml:space="preserve">line); and </w:t>
      </w:r>
    </w:p>
    <w:p w:rsidR="005D2DA7" w:rsidRPr="00AF5796" w:rsidRDefault="005D2DA7" w:rsidP="005D2DA7">
      <w:pPr>
        <w:pStyle w:val="enumlev1"/>
        <w:rPr>
          <w:rFonts w:eastAsia="MS Mincho"/>
          <w:lang w:val="en-US"/>
        </w:rPr>
      </w:pPr>
      <w:r w:rsidRPr="00AF5796">
        <w:rPr>
          <w:rFonts w:eastAsia="MS Mincho"/>
          <w:lang w:val="en-US"/>
        </w:rPr>
        <w:t>–</w:t>
      </w:r>
      <w:r w:rsidRPr="00AF5796">
        <w:rPr>
          <w:rFonts w:eastAsia="MS Mincho"/>
          <w:lang w:val="en-US"/>
        </w:rPr>
        <w:tab/>
        <w:t xml:space="preserve">subscription traffic growth of 25% per year (not shown, but incorporated in the blue lines). </w:t>
      </w:r>
    </w:p>
    <w:p w:rsidR="005D2DA7" w:rsidRPr="00AF5796" w:rsidRDefault="005D2DA7" w:rsidP="005D2DA7">
      <w:pPr>
        <w:rPr>
          <w:lang w:val="en-US"/>
        </w:rPr>
      </w:pPr>
      <w:r w:rsidRPr="00AF5796">
        <w:rPr>
          <w:lang w:val="en-US"/>
        </w:rPr>
        <w:t xml:space="preserve">In this forecast, the broadband connectivity penetration models the uptake of broadband services (i.e. switch to a broadband subscription) relative to the total number of subscriptions and mathematically is modelled with an S-curve. The 100% broadband connectivity penetration reached by 2030 corresponds to a growth of 10-times in number of broadband subscriptions compared to 2010. The constant 25% per year growth in broadband traffic per subscription is motivated by the observed general (not only wireless) technological evolution during the past decades. Therefore the total number of broadband subscriptions is given by the multiplication between the broadband connectivity penetration curve (grey line) and the 5% or 15% per year subscriber base growth. </w:t>
      </w:r>
    </w:p>
    <w:p w:rsidR="005D2DA7" w:rsidRPr="00AF5796" w:rsidRDefault="005D2DA7" w:rsidP="00917A59">
      <w:pPr>
        <w:rPr>
          <w:lang w:val="en-US"/>
        </w:rPr>
      </w:pPr>
      <w:r w:rsidRPr="00AF5796">
        <w:rPr>
          <w:lang w:val="en-US"/>
        </w:rPr>
        <w:t>The resulting traffic forecasts indicate a global growth between 2</w:t>
      </w:r>
      <w:r w:rsidRPr="00AF5796">
        <w:rPr>
          <w:lang w:val="en-US" w:eastAsia="ja-JP"/>
        </w:rPr>
        <w:t xml:space="preserve"> </w:t>
      </w:r>
      <w:r w:rsidRPr="00AF5796">
        <w:rPr>
          <w:lang w:val="en-US"/>
        </w:rPr>
        <w:t>300-times or 14</w:t>
      </w:r>
      <w:r w:rsidRPr="00AF5796">
        <w:rPr>
          <w:lang w:val="en-US" w:eastAsia="ja-JP"/>
        </w:rPr>
        <w:t xml:space="preserve"> </w:t>
      </w:r>
      <w:r w:rsidRPr="00AF5796">
        <w:rPr>
          <w:lang w:val="en-US"/>
        </w:rPr>
        <w:t xml:space="preserve">000-times from 2010 to 2030. The ‘lower’ and ‘upper’ forecasts assumed the possible scenarios without and with machine type communication included, respectively. </w:t>
      </w:r>
    </w:p>
    <w:p w:rsidR="005D2DA7" w:rsidRPr="00AF5796" w:rsidRDefault="005D2DA7" w:rsidP="005D2DA7">
      <w:pPr>
        <w:rPr>
          <w:lang w:val="en-US"/>
        </w:rPr>
      </w:pPr>
      <w:r w:rsidRPr="00AF5796">
        <w:rPr>
          <w:lang w:val="en-US"/>
        </w:rPr>
        <w:t xml:space="preserve">Figure </w:t>
      </w:r>
      <w:r w:rsidRPr="00AF5796">
        <w:rPr>
          <w:lang w:val="en-US" w:eastAsia="ja-JP"/>
        </w:rPr>
        <w:t>13</w:t>
      </w:r>
      <w:r w:rsidRPr="00AF5796">
        <w:rPr>
          <w:lang w:val="en-US"/>
        </w:rPr>
        <w:t xml:space="preserve"> shows the same study forecasts for mobile broadband traffic growth as in </w:t>
      </w:r>
      <w:r w:rsidR="00207607" w:rsidRPr="00AF5796">
        <w:rPr>
          <w:lang w:val="en-US"/>
        </w:rPr>
        <w:t>Fig.</w:t>
      </w:r>
      <w:r w:rsidR="00931E8F" w:rsidRPr="00AF5796">
        <w:rPr>
          <w:lang w:val="en-US"/>
        </w:rPr>
        <w:t xml:space="preserve"> </w:t>
      </w:r>
      <w:r w:rsidRPr="00AF5796">
        <w:rPr>
          <w:lang w:val="en-US" w:eastAsia="ja-JP"/>
        </w:rPr>
        <w:t>12</w:t>
      </w:r>
      <w:r w:rsidRPr="00AF5796">
        <w:rPr>
          <w:lang w:val="en-US"/>
        </w:rPr>
        <w:t>, only for the time period 2020 – 2030 (relative to 2020) and indicates a global growth between 26-times and 70-times from 2020 to 2030.</w:t>
      </w:r>
    </w:p>
    <w:p w:rsidR="005D2DA7" w:rsidRPr="00AF5796" w:rsidRDefault="005D2DA7" w:rsidP="005D2DA7">
      <w:pPr>
        <w:pStyle w:val="FigureNo"/>
        <w:spacing w:before="240"/>
        <w:rPr>
          <w:lang w:val="en-US" w:eastAsia="ja-JP"/>
        </w:rPr>
      </w:pPr>
      <w:r w:rsidRPr="00AF5796">
        <w:rPr>
          <w:lang w:val="en-US"/>
        </w:rPr>
        <w:lastRenderedPageBreak/>
        <w:t xml:space="preserve">Figure </w:t>
      </w:r>
      <w:r w:rsidRPr="00AF5796">
        <w:rPr>
          <w:lang w:val="en-US" w:eastAsia="ja-JP"/>
        </w:rPr>
        <w:t>13</w:t>
      </w:r>
    </w:p>
    <w:p w:rsidR="005D2DA7" w:rsidRPr="00AF5796" w:rsidRDefault="005D2DA7" w:rsidP="00567C49">
      <w:pPr>
        <w:pStyle w:val="Figuretitle"/>
        <w:rPr>
          <w:lang w:val="en-US"/>
        </w:rPr>
      </w:pPr>
      <w:r w:rsidRPr="00AF5796">
        <w:rPr>
          <w:lang w:val="en-US"/>
        </w:rPr>
        <w:t>Forecasts from the same study for global mobile broadband traffic growth for the period 2020–2030</w:t>
      </w:r>
    </w:p>
    <w:p w:rsidR="005D2DA7" w:rsidRPr="00AF5796" w:rsidRDefault="005D2DA7" w:rsidP="005E18C0">
      <w:pPr>
        <w:pStyle w:val="Figure"/>
        <w:rPr>
          <w:lang w:val="en-US"/>
        </w:rPr>
      </w:pPr>
      <w:r w:rsidRPr="00AF5796">
        <w:rPr>
          <w:noProof/>
          <w:lang w:val="en-US" w:eastAsia="zh-CN"/>
        </w:rPr>
        <w:drawing>
          <wp:inline distT="0" distB="0" distL="0" distR="0" wp14:anchorId="05C8B885" wp14:editId="005B6B2F">
            <wp:extent cx="5981700" cy="3876675"/>
            <wp:effectExtent l="19050" t="0" r="0" b="0"/>
            <wp:docPr id="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srcRect t="5375"/>
                    <a:stretch/>
                  </pic:blipFill>
                  <pic:spPr bwMode="auto">
                    <a:xfrm>
                      <a:off x="0" y="0"/>
                      <a:ext cx="5988078" cy="3880808"/>
                    </a:xfrm>
                    <a:prstGeom prst="rect">
                      <a:avLst/>
                    </a:prstGeom>
                    <a:noFill/>
                    <a:ln>
                      <a:noFill/>
                    </a:ln>
                    <a:extLst>
                      <a:ext uri="{53640926-AAD7-44D8-BBD7-CCE9431645EC}">
                        <a14:shadowObscured xmlns:a14="http://schemas.microsoft.com/office/drawing/2010/main"/>
                      </a:ext>
                    </a:extLst>
                  </pic:spPr>
                </pic:pic>
              </a:graphicData>
            </a:graphic>
          </wp:inline>
        </w:drawing>
      </w:r>
    </w:p>
    <w:p w:rsidR="005D2DA7" w:rsidRPr="00AF5796" w:rsidRDefault="005D2DA7" w:rsidP="005D2DA7">
      <w:pPr>
        <w:rPr>
          <w:sz w:val="20"/>
          <w:lang w:val="en-US"/>
        </w:rPr>
      </w:pPr>
      <w:r w:rsidRPr="00AF5796">
        <w:rPr>
          <w:lang w:val="en-US"/>
        </w:rPr>
        <w:t>Annex 2 provides country-specific information concerning both mobile subscriber estimations and mobile traffic forecasts for certain country.</w:t>
      </w:r>
      <w:r w:rsidRPr="00AF5796">
        <w:rPr>
          <w:sz w:val="20"/>
          <w:lang w:val="en-US"/>
        </w:rPr>
        <w:t xml:space="preserve"> </w:t>
      </w:r>
    </w:p>
    <w:p w:rsidR="005D2DA7" w:rsidRPr="00AF5796" w:rsidRDefault="005D2DA7" w:rsidP="005D2DA7">
      <w:pPr>
        <w:pStyle w:val="Heading1"/>
        <w:rPr>
          <w:lang w:val="en-US"/>
        </w:rPr>
      </w:pPr>
      <w:bookmarkStart w:id="37" w:name="_Toc427932304"/>
      <w:bookmarkStart w:id="38" w:name="_Toc427935113"/>
      <w:r w:rsidRPr="00AF5796">
        <w:rPr>
          <w:lang w:val="en-US"/>
        </w:rPr>
        <w:t>6</w:t>
      </w:r>
      <w:r w:rsidRPr="00AF5796">
        <w:rPr>
          <w:lang w:val="en-US"/>
        </w:rPr>
        <w:tab/>
        <w:t xml:space="preserve">Traffic </w:t>
      </w:r>
      <w:r w:rsidR="003C214E" w:rsidRPr="00AF5796">
        <w:rPr>
          <w:lang w:val="en-US"/>
        </w:rPr>
        <w:t>asymmetry</w:t>
      </w:r>
      <w:bookmarkEnd w:id="37"/>
      <w:bookmarkEnd w:id="38"/>
    </w:p>
    <w:p w:rsidR="005D2DA7" w:rsidRPr="00AF5796" w:rsidRDefault="005D2DA7" w:rsidP="003C214E">
      <w:pPr>
        <w:pStyle w:val="Heading2"/>
        <w:rPr>
          <w:lang w:val="en-US"/>
        </w:rPr>
      </w:pPr>
      <w:bookmarkStart w:id="39" w:name="_Toc427932305"/>
      <w:bookmarkStart w:id="40" w:name="_Toc427935114"/>
      <w:r w:rsidRPr="00AF5796">
        <w:rPr>
          <w:lang w:val="en-US"/>
        </w:rPr>
        <w:t>6.1</w:t>
      </w:r>
      <w:r w:rsidRPr="00AF5796">
        <w:rPr>
          <w:lang w:val="en-US"/>
        </w:rPr>
        <w:tab/>
        <w:t>Description of traffic asymmetry</w:t>
      </w:r>
      <w:bookmarkEnd w:id="39"/>
      <w:bookmarkEnd w:id="40"/>
    </w:p>
    <w:p w:rsidR="005D2DA7" w:rsidRPr="00AF5796" w:rsidRDefault="005D2DA7" w:rsidP="005D2DA7">
      <w:pPr>
        <w:rPr>
          <w:lang w:val="en-US"/>
        </w:rPr>
      </w:pPr>
      <w:r w:rsidRPr="00AF5796">
        <w:rPr>
          <w:lang w:val="en-US"/>
        </w:rPr>
        <w:t>Asymmetry is the difference between the average amount of traffic in the uplink and the downlink direction. Average traffic asymmetry is dependent upon a range of factors including the:</w:t>
      </w:r>
    </w:p>
    <w:p w:rsidR="005D2DA7" w:rsidRPr="00AF5796" w:rsidRDefault="005D2DA7" w:rsidP="005D2DA7">
      <w:pPr>
        <w:pStyle w:val="enumlev1"/>
        <w:rPr>
          <w:rFonts w:ascii="Calibri" w:eastAsia="Calibri" w:hAnsi="Calibri"/>
          <w:sz w:val="22"/>
          <w:szCs w:val="22"/>
          <w:lang w:val="en-US"/>
        </w:rPr>
      </w:pPr>
      <w:r w:rsidRPr="00AF5796">
        <w:rPr>
          <w:lang w:val="en-US"/>
        </w:rPr>
        <w:t>−</w:t>
      </w:r>
      <w:r w:rsidRPr="00AF5796">
        <w:rPr>
          <w:lang w:val="en-US"/>
        </w:rPr>
        <w:tab/>
        <w:t>nature of each application (web-browsing, voice, streaming, etc.)</w:t>
      </w:r>
      <w:r w:rsidRPr="00AF5796">
        <w:rPr>
          <w:rFonts w:eastAsia="Calibri"/>
          <w:szCs w:val="22"/>
          <w:lang w:val="en-US"/>
        </w:rPr>
        <w:t xml:space="preserve"> in terms of average up and down link traffic;</w:t>
      </w:r>
    </w:p>
    <w:p w:rsidR="005D2DA7" w:rsidRPr="00AF5796" w:rsidRDefault="005D2DA7" w:rsidP="005D2DA7">
      <w:pPr>
        <w:pStyle w:val="enumlev1"/>
        <w:rPr>
          <w:rFonts w:ascii="Calibri" w:eastAsia="Calibri" w:hAnsi="Calibri"/>
          <w:sz w:val="22"/>
          <w:szCs w:val="22"/>
          <w:lang w:val="en-US"/>
        </w:rPr>
      </w:pPr>
      <w:r w:rsidRPr="00AF5796">
        <w:rPr>
          <w:rFonts w:eastAsia="Calibri"/>
          <w:szCs w:val="22"/>
          <w:lang w:val="en-US"/>
        </w:rPr>
        <w:t>−</w:t>
      </w:r>
      <w:r w:rsidRPr="00AF5796">
        <w:rPr>
          <w:rFonts w:eastAsia="Calibri"/>
          <w:szCs w:val="22"/>
          <w:lang w:val="en-US"/>
        </w:rPr>
        <w:tab/>
        <w:t>average mix of applications according to each category of device (mobile, smartphone, tablet, laptop) and subscription generation;</w:t>
      </w:r>
    </w:p>
    <w:p w:rsidR="005D2DA7" w:rsidRPr="00AF5796" w:rsidRDefault="005D2DA7" w:rsidP="005D2DA7">
      <w:pPr>
        <w:pStyle w:val="enumlev1"/>
        <w:rPr>
          <w:lang w:val="en-US"/>
        </w:rPr>
      </w:pPr>
      <w:r w:rsidRPr="00AF5796">
        <w:rPr>
          <w:lang w:val="en-US"/>
        </w:rPr>
        <w:t>−</w:t>
      </w:r>
      <w:r w:rsidRPr="00AF5796">
        <w:rPr>
          <w:lang w:val="en-US"/>
        </w:rPr>
        <w:tab/>
        <w:t xml:space="preserve">mix of device type per generation (i.e. IMT-2000 smart phone vs. IMT-Advanced smart phone. </w:t>
      </w:r>
    </w:p>
    <w:p w:rsidR="005D2DA7" w:rsidRPr="00AF5796" w:rsidRDefault="005D2DA7" w:rsidP="008A40E0">
      <w:pPr>
        <w:rPr>
          <w:lang w:val="en-US"/>
        </w:rPr>
      </w:pPr>
      <w:r w:rsidRPr="00AF5796">
        <w:rPr>
          <w:lang w:val="en-US"/>
        </w:rPr>
        <w:t>Furthermore, all of these factors are expected to evolve over time and will be strongly dependent upon cultural differences between different countries, the impact of operator tariffing strategy on subscriber behaviour, migration toward next generation technologies, macro-economic factors impacting ability to pay for advanced end-user devices and subscription packages, etc. These factors are expected to result in a wide range of observed traffic asymmetry rates across different countries, radio access technology generations and over time.</w:t>
      </w:r>
    </w:p>
    <w:p w:rsidR="005D2DA7" w:rsidRPr="00AF5796" w:rsidRDefault="005D2DA7" w:rsidP="005D2DA7">
      <w:pPr>
        <w:rPr>
          <w:lang w:val="en-US"/>
        </w:rPr>
      </w:pPr>
      <w:r w:rsidRPr="00AF5796">
        <w:rPr>
          <w:lang w:val="en-US"/>
        </w:rPr>
        <w:t xml:space="preserve">In recent years the uplink-downlink asymmetric usage of the mobile service has increased significantly. The introduction of mobile broadband has made it possible for users to apply the same </w:t>
      </w:r>
      <w:r w:rsidRPr="00AF5796">
        <w:rPr>
          <w:lang w:val="en-US"/>
        </w:rPr>
        <w:lastRenderedPageBreak/>
        <w:t>behaviour as they did with fixed broadband. This has resulted in many asymmetric applications finding their way into the mobile networks.</w:t>
      </w:r>
    </w:p>
    <w:p w:rsidR="005D2DA7" w:rsidRPr="00AF5796" w:rsidRDefault="005D2DA7" w:rsidP="00EB780E">
      <w:pPr>
        <w:pStyle w:val="ListParagraph"/>
        <w:ind w:leftChars="0" w:left="0"/>
        <w:rPr>
          <w:rFonts w:ascii="Garamond" w:hAnsi="Garamond"/>
          <w:color w:val="1F497D"/>
          <w:lang w:val="en-US"/>
        </w:rPr>
      </w:pPr>
      <w:r w:rsidRPr="00AF5796">
        <w:rPr>
          <w:lang w:val="en-US"/>
        </w:rPr>
        <w:t xml:space="preserve">The DL dominates with around 80-90% of data traffic while UL contributes around 20-10%. This is based on the lowest traffic asymmetry ratio where UL/DL is 1/4 that corresponds to 80% (DL) </w:t>
      </w:r>
      <w:r w:rsidR="00EB780E" w:rsidRPr="00AF5796">
        <w:rPr>
          <w:lang w:val="en-US"/>
        </w:rPr>
        <w:t>=</w:t>
      </w:r>
      <w:r w:rsidRPr="00AF5796">
        <w:rPr>
          <w:lang w:val="en-US"/>
        </w:rPr>
        <w:t xml:space="preserve"> 4x20% (UL) over 100% traffic with UL+DL. As video content increases, it is estimated that the proportion of DL content will grow even further in the near future.  </w:t>
      </w:r>
    </w:p>
    <w:p w:rsidR="005D2DA7" w:rsidRPr="00AF5796" w:rsidRDefault="005D2DA7" w:rsidP="005D2DA7">
      <w:pPr>
        <w:rPr>
          <w:lang w:val="en-US"/>
        </w:rPr>
      </w:pPr>
      <w:r w:rsidRPr="00AF5796">
        <w:rPr>
          <w:lang w:val="en-US"/>
        </w:rPr>
        <w:t>When considering traffic asymmetry, applications can be grouped into different categories, such as:</w:t>
      </w:r>
    </w:p>
    <w:p w:rsidR="005D2DA7" w:rsidRPr="00AF5796" w:rsidRDefault="005D2DA7" w:rsidP="005D2DA7">
      <w:pPr>
        <w:pStyle w:val="enumlev1"/>
        <w:rPr>
          <w:lang w:val="en-US"/>
        </w:rPr>
      </w:pPr>
      <w:r w:rsidRPr="00AF5796">
        <w:rPr>
          <w:szCs w:val="24"/>
          <w:lang w:val="en-US"/>
        </w:rPr>
        <w:t>−</w:t>
      </w:r>
      <w:r w:rsidRPr="00AF5796">
        <w:rPr>
          <w:sz w:val="8"/>
          <w:szCs w:val="8"/>
          <w:lang w:val="en-US"/>
        </w:rPr>
        <w:tab/>
      </w:r>
      <w:r w:rsidRPr="00AF5796">
        <w:rPr>
          <w:b/>
          <w:lang w:val="en-US"/>
        </w:rPr>
        <w:t>Bi-directional</w:t>
      </w:r>
      <w:r w:rsidRPr="00AF5796">
        <w:rPr>
          <w:lang w:val="en-US"/>
        </w:rPr>
        <w:t xml:space="preserve">: </w:t>
      </w:r>
      <w:r w:rsidR="003C214E" w:rsidRPr="00AF5796">
        <w:rPr>
          <w:lang w:val="en-US"/>
        </w:rPr>
        <w:t>point</w:t>
      </w:r>
      <w:r w:rsidR="00B124CA">
        <w:rPr>
          <w:lang w:val="en-US"/>
        </w:rPr>
        <w:t>-to-p</w:t>
      </w:r>
      <w:r w:rsidRPr="00AF5796">
        <w:rPr>
          <w:lang w:val="en-US"/>
        </w:rPr>
        <w:t xml:space="preserve">oint (P2P) applications (file sharing, P2P media), email, instant messaging, </w:t>
      </w:r>
      <w:r w:rsidR="003C214E" w:rsidRPr="00AF5796">
        <w:rPr>
          <w:lang w:val="en-US"/>
        </w:rPr>
        <w:t>voice</w:t>
      </w:r>
      <w:r w:rsidRPr="00AF5796">
        <w:rPr>
          <w:lang w:val="en-US"/>
        </w:rPr>
        <w:t xml:space="preserve">-over-IP (VoIP), video conferencing, etc. These applications generate, on average similar amounts of uplink and downlink traffic volumes: emails and instant messages are both sent and received; shared files are both uploaded and downloaded, etc. The high UL/DL ratio of unknown traffic hence implies that most of this traffic probably comes from either P2P applications or VoIP and videoconferencing applications. </w:t>
      </w:r>
    </w:p>
    <w:p w:rsidR="005D2DA7" w:rsidRPr="00AF5796" w:rsidRDefault="005D2DA7" w:rsidP="005D2DA7">
      <w:pPr>
        <w:pStyle w:val="enumlev1"/>
        <w:rPr>
          <w:lang w:val="en-US"/>
        </w:rPr>
      </w:pPr>
      <w:r w:rsidRPr="00AF5796">
        <w:rPr>
          <w:szCs w:val="24"/>
          <w:lang w:val="en-US"/>
        </w:rPr>
        <w:t>−</w:t>
      </w:r>
      <w:r w:rsidRPr="00AF5796">
        <w:rPr>
          <w:sz w:val="16"/>
          <w:szCs w:val="16"/>
          <w:lang w:val="en-US"/>
        </w:rPr>
        <w:tab/>
      </w:r>
      <w:r w:rsidRPr="00AF5796">
        <w:rPr>
          <w:b/>
          <w:lang w:val="en-US"/>
        </w:rPr>
        <w:t>Request-response</w:t>
      </w:r>
      <w:r w:rsidRPr="00AF5796">
        <w:rPr>
          <w:lang w:val="en-US"/>
        </w:rPr>
        <w:t xml:space="preserve">: social networking, web browsing, etc. These applications have a typical request - response communication pattern where requests (uplink) are typically much smaller than responses (downlink). It is interesting to note the significantly higher uplink traffic ratio for social networking. Social networking is not only focused on viewing existing content, but users also actively contribute to create content; therefore average "request" sizes are larger than for web browsing. </w:t>
      </w:r>
    </w:p>
    <w:p w:rsidR="005D2DA7" w:rsidRPr="00AF5796" w:rsidRDefault="005D2DA7" w:rsidP="005D2DA7">
      <w:pPr>
        <w:pStyle w:val="enumlev1"/>
        <w:rPr>
          <w:lang w:val="en-US"/>
        </w:rPr>
      </w:pPr>
      <w:r w:rsidRPr="00AF5796">
        <w:rPr>
          <w:szCs w:val="24"/>
          <w:lang w:val="en-US"/>
        </w:rPr>
        <w:t>−</w:t>
      </w:r>
      <w:r w:rsidRPr="00AF5796">
        <w:rPr>
          <w:sz w:val="8"/>
          <w:szCs w:val="8"/>
          <w:lang w:val="en-US"/>
        </w:rPr>
        <w:tab/>
      </w:r>
      <w:r w:rsidRPr="00AF5796">
        <w:rPr>
          <w:b/>
          <w:lang w:val="en-US"/>
        </w:rPr>
        <w:t>Download dominated</w:t>
      </w:r>
      <w:r w:rsidRPr="00AF5796">
        <w:rPr>
          <w:lang w:val="en-US"/>
        </w:rPr>
        <w:t>: software update and download, online video, online audio, web TV, etc. These applications are practically download only. The 2-3% uplink ratio is mainly due to TCP ACK packets in uplink direction as well as small requests in uplink preceding software or media downloads.</w:t>
      </w:r>
    </w:p>
    <w:p w:rsidR="005D2DA7" w:rsidRPr="00AF5796" w:rsidRDefault="005D2DA7" w:rsidP="005D2DA7">
      <w:pPr>
        <w:pStyle w:val="Heading2"/>
        <w:rPr>
          <w:lang w:val="en-US"/>
        </w:rPr>
      </w:pPr>
      <w:bookmarkStart w:id="41" w:name="_Toc427932306"/>
      <w:bookmarkStart w:id="42" w:name="_Toc427935115"/>
      <w:r w:rsidRPr="00AF5796">
        <w:rPr>
          <w:lang w:val="en-US"/>
        </w:rPr>
        <w:t>6.2</w:t>
      </w:r>
      <w:r w:rsidRPr="00AF5796">
        <w:rPr>
          <w:lang w:val="en-US"/>
        </w:rPr>
        <w:tab/>
        <w:t>Examples of traffic asymmetry</w:t>
      </w:r>
      <w:bookmarkEnd w:id="41"/>
      <w:bookmarkEnd w:id="42"/>
    </w:p>
    <w:p w:rsidR="005D2DA7" w:rsidRPr="00AF5796" w:rsidRDefault="005D2DA7" w:rsidP="005D2DA7">
      <w:pPr>
        <w:rPr>
          <w:lang w:val="en-US"/>
        </w:rPr>
      </w:pPr>
      <w:r w:rsidRPr="00AF5796">
        <w:rPr>
          <w:lang w:val="en-US"/>
        </w:rPr>
        <w:t xml:space="preserve">Figure 14 shows the ratio of the uplink traffic to total traffic. The colour changes indicate a range, based on actual measurements, with the darkest portion indicating the average split amongst the measured networks. For example, looking at “file sharing”, the ratio (of uplink traffic to total) could vary between less than 15% to over 30%, depending upon the network measured. It should be noted that the measurements are made at the IP layer, not the radio layer. </w:t>
      </w:r>
    </w:p>
    <w:p w:rsidR="005D2DA7" w:rsidRPr="00AF5796" w:rsidRDefault="005D2DA7" w:rsidP="005D2DA7">
      <w:pPr>
        <w:pStyle w:val="FigureNo"/>
        <w:spacing w:before="240"/>
        <w:rPr>
          <w:lang w:val="en-US"/>
        </w:rPr>
      </w:pPr>
      <w:r w:rsidRPr="00AF5796">
        <w:rPr>
          <w:lang w:val="en-US"/>
        </w:rPr>
        <w:t>Figure 14</w:t>
      </w:r>
    </w:p>
    <w:p w:rsidR="005D2DA7" w:rsidRPr="00AF5796" w:rsidRDefault="005D2DA7" w:rsidP="00EB780E">
      <w:pPr>
        <w:pStyle w:val="Figure"/>
        <w:rPr>
          <w:lang w:val="en-US"/>
        </w:rPr>
      </w:pPr>
      <w:r w:rsidRPr="00AF5796">
        <w:rPr>
          <w:noProof/>
          <w:lang w:val="en-US" w:eastAsia="zh-CN"/>
        </w:rPr>
        <w:drawing>
          <wp:inline distT="0" distB="0" distL="0" distR="0" wp14:anchorId="4E2BABA3" wp14:editId="7C646394">
            <wp:extent cx="5434330" cy="2570480"/>
            <wp:effectExtent l="19050" t="0" r="0" b="0"/>
            <wp:docPr id="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srcRect/>
                    <a:stretch>
                      <a:fillRect/>
                    </a:stretch>
                  </pic:blipFill>
                  <pic:spPr bwMode="auto">
                    <a:xfrm>
                      <a:off x="0" y="0"/>
                      <a:ext cx="5434330" cy="2570480"/>
                    </a:xfrm>
                    <a:prstGeom prst="rect">
                      <a:avLst/>
                    </a:prstGeom>
                    <a:noFill/>
                    <a:ln w="9525">
                      <a:noFill/>
                      <a:miter lim="800000"/>
                      <a:headEnd/>
                      <a:tailEnd/>
                    </a:ln>
                  </pic:spPr>
                </pic:pic>
              </a:graphicData>
            </a:graphic>
          </wp:inline>
        </w:drawing>
      </w:r>
    </w:p>
    <w:p w:rsidR="005D2DA7" w:rsidRPr="00AF5796" w:rsidRDefault="005D2DA7" w:rsidP="005D2DA7">
      <w:pPr>
        <w:rPr>
          <w:lang w:val="en-US"/>
        </w:rPr>
      </w:pPr>
      <w:r w:rsidRPr="00AF5796">
        <w:rPr>
          <w:lang w:val="en-US"/>
        </w:rPr>
        <w:t xml:space="preserve">Also Tables 10 and 11 depict the UL/DL traffic distribution for specific types of applications. </w:t>
      </w:r>
    </w:p>
    <w:p w:rsidR="005D2DA7" w:rsidRPr="00AF5796" w:rsidRDefault="005D2DA7" w:rsidP="005D2DA7">
      <w:pPr>
        <w:pStyle w:val="TableNo"/>
        <w:spacing w:before="600"/>
        <w:rPr>
          <w:lang w:val="en-US"/>
        </w:rPr>
      </w:pPr>
      <w:r w:rsidRPr="00AF5796">
        <w:rPr>
          <w:lang w:val="en-US"/>
        </w:rPr>
        <w:lastRenderedPageBreak/>
        <w:t>TABLE 10</w:t>
      </w:r>
    </w:p>
    <w:p w:rsidR="005D2DA7" w:rsidRPr="00AF5796" w:rsidRDefault="005D2DA7" w:rsidP="005D2DA7">
      <w:pPr>
        <w:pStyle w:val="Tabletitle"/>
        <w:rPr>
          <w:lang w:val="en-US"/>
        </w:rPr>
      </w:pPr>
      <w:r w:rsidRPr="00AF5796">
        <w:rPr>
          <w:lang w:val="en-US"/>
        </w:rPr>
        <w:t>UL/DL traffic distribution over different applications</w:t>
      </w:r>
      <w:bookmarkStart w:id="43" w:name="_Ref422140209"/>
      <w:r w:rsidRPr="00EE59D1">
        <w:rPr>
          <w:rStyle w:val="FootnoteReference"/>
        </w:rPr>
        <w:footnoteReference w:id="24"/>
      </w:r>
      <w:bookmarkEnd w:id="43"/>
    </w:p>
    <w:tbl>
      <w:tblPr>
        <w:tblW w:w="6963" w:type="dxa"/>
        <w:tblInd w:w="1101" w:type="dxa"/>
        <w:tblLook w:val="01E0" w:firstRow="1" w:lastRow="1" w:firstColumn="1" w:lastColumn="1" w:noHBand="0" w:noVBand="0"/>
      </w:tblPr>
      <w:tblGrid>
        <w:gridCol w:w="2503"/>
        <w:gridCol w:w="2230"/>
        <w:gridCol w:w="2230"/>
      </w:tblGrid>
      <w:tr w:rsidR="005D2DA7" w:rsidRPr="0080312B" w:rsidTr="00D513B3">
        <w:trPr>
          <w:trHeight w:val="514"/>
        </w:trPr>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head"/>
              <w:rPr>
                <w:szCs w:val="22"/>
                <w:lang w:val="en-US"/>
              </w:rPr>
            </w:pPr>
            <w:r w:rsidRPr="0080312B">
              <w:rPr>
                <w:szCs w:val="22"/>
                <w:lang w:val="en-US"/>
              </w:rPr>
              <w:t>Services</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head"/>
              <w:rPr>
                <w:szCs w:val="22"/>
                <w:lang w:val="en-US"/>
              </w:rPr>
            </w:pPr>
            <w:r w:rsidRPr="0080312B">
              <w:rPr>
                <w:szCs w:val="22"/>
                <w:lang w:val="en-US"/>
              </w:rPr>
              <w:t>% downlink</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head"/>
              <w:rPr>
                <w:position w:val="6"/>
                <w:szCs w:val="22"/>
                <w:vertAlign w:val="superscript"/>
                <w:lang w:val="en-US" w:eastAsia="en-GB"/>
              </w:rPr>
            </w:pPr>
            <w:r w:rsidRPr="0080312B">
              <w:rPr>
                <w:szCs w:val="22"/>
                <w:lang w:val="en-US"/>
              </w:rPr>
              <w:t>Source</w:t>
            </w:r>
          </w:p>
        </w:tc>
      </w:tr>
      <w:tr w:rsidR="005D2DA7" w:rsidRPr="0080312B" w:rsidTr="00D513B3">
        <w:trPr>
          <w:trHeight w:val="514"/>
        </w:trPr>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Web browsing/e</w:t>
            </w:r>
            <w:r w:rsidRPr="0080312B">
              <w:rPr>
                <w:szCs w:val="22"/>
                <w:lang w:val="en-US"/>
              </w:rPr>
              <w:noBreakHyphen/>
              <w:t>mail</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80%</w:t>
            </w:r>
          </w:p>
          <w:p w:rsidR="005D2DA7" w:rsidRPr="0080312B" w:rsidRDefault="005D2DA7" w:rsidP="00EB780E">
            <w:pPr>
              <w:pStyle w:val="Tabletext"/>
              <w:jc w:val="center"/>
              <w:rPr>
                <w:szCs w:val="22"/>
                <w:lang w:val="en-US"/>
              </w:rPr>
            </w:pPr>
            <w:r w:rsidRPr="0080312B">
              <w:rPr>
                <w:szCs w:val="22"/>
                <w:lang w:val="en-US"/>
              </w:rPr>
              <w:t>90%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A4301B" w:rsidP="0080312B">
            <w:pPr>
              <w:pStyle w:val="Tabletext"/>
              <w:jc w:val="center"/>
              <w:rPr>
                <w:szCs w:val="22"/>
                <w:vertAlign w:val="superscript"/>
                <w:lang w:val="en-US"/>
              </w:rPr>
            </w:pPr>
            <w:r w:rsidRPr="0080312B">
              <w:rPr>
                <w:vertAlign w:val="superscript"/>
              </w:rPr>
              <w:footnoteReference w:id="25"/>
            </w:r>
            <w:r w:rsidR="0080312B" w:rsidRPr="0080312B">
              <w:rPr>
                <w:szCs w:val="22"/>
                <w:vertAlign w:val="superscript"/>
                <w:lang w:val="en-US"/>
              </w:rPr>
              <w:t xml:space="preserve">, </w:t>
            </w:r>
            <w:r w:rsidRPr="0080312B">
              <w:rPr>
                <w:vertAlign w:val="superscript"/>
              </w:rPr>
              <w:footnoteReference w:id="26"/>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Video</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98%</w:t>
            </w:r>
          </w:p>
          <w:p w:rsidR="005D2DA7" w:rsidRPr="0080312B" w:rsidRDefault="005D2DA7" w:rsidP="00EB780E">
            <w:pPr>
              <w:pStyle w:val="Tabletext"/>
              <w:jc w:val="center"/>
              <w:rPr>
                <w:szCs w:val="22"/>
                <w:lang w:val="en-US"/>
              </w:rPr>
            </w:pPr>
            <w:r w:rsidRPr="0080312B">
              <w:rPr>
                <w:szCs w:val="22"/>
                <w:lang w:val="en-US"/>
              </w:rPr>
              <w:t>80-92%</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25,</w:t>
            </w:r>
            <w:r w:rsidR="00EB780E" w:rsidRPr="0080312B">
              <w:rPr>
                <w:szCs w:val="22"/>
                <w:vertAlign w:val="superscript"/>
                <w:lang w:val="en-US"/>
              </w:rPr>
              <w:t xml:space="preserve"> </w:t>
            </w:r>
            <w:r w:rsidRPr="0080312B">
              <w:rPr>
                <w:szCs w:val="22"/>
                <w:vertAlign w:val="superscript"/>
                <w:lang w:val="en-US"/>
              </w:rPr>
              <w:t>26</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VoIP and IM</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50%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25</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File sharing</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80%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vertAlign w:val="superscript"/>
                <w:lang w:val="en-US"/>
              </w:rPr>
              <w:t>25</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Other</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60%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25</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Interactive service</w:t>
            </w:r>
            <w:r w:rsidRPr="0080312B">
              <w:rPr>
                <w:position w:val="6"/>
                <w:szCs w:val="22"/>
                <w:vertAlign w:val="superscript"/>
                <w:lang w:val="en-US" w:eastAsia="en-GB"/>
              </w:rPr>
              <w:footnoteReference w:id="27"/>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72%</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26</w:t>
            </w:r>
          </w:p>
        </w:tc>
      </w:tr>
    </w:tbl>
    <w:p w:rsidR="005D2DA7" w:rsidRPr="00AF5796" w:rsidRDefault="005D2DA7" w:rsidP="005D2DA7">
      <w:pPr>
        <w:pStyle w:val="TableNo"/>
        <w:rPr>
          <w:lang w:val="en-US"/>
        </w:rPr>
      </w:pPr>
      <w:r w:rsidRPr="00AF5796">
        <w:rPr>
          <w:lang w:val="en-US"/>
        </w:rPr>
        <w:t>TABLE 11</w:t>
      </w:r>
    </w:p>
    <w:p w:rsidR="005D2DA7" w:rsidRPr="00AF5796" w:rsidRDefault="005D2DA7" w:rsidP="005D2DA7">
      <w:pPr>
        <w:pStyle w:val="Tabletitle"/>
        <w:rPr>
          <w:lang w:val="en-US"/>
        </w:rPr>
      </w:pPr>
      <w:r w:rsidRPr="00AF5796">
        <w:rPr>
          <w:lang w:val="en-US"/>
        </w:rPr>
        <w:t>Traffic distribution over different applications</w:t>
      </w:r>
      <w:r w:rsidRPr="00EE59D1">
        <w:rPr>
          <w:rStyle w:val="FootnoteReference"/>
          <w:lang w:val="en-US"/>
        </w:rPr>
        <w:footnoteReference w:id="28"/>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1691"/>
        <w:gridCol w:w="2224"/>
        <w:gridCol w:w="2494"/>
      </w:tblGrid>
      <w:tr w:rsidR="005D2DA7" w:rsidRPr="00166329" w:rsidTr="00516947">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rsidR="005D2DA7" w:rsidRPr="00AF5796" w:rsidRDefault="005D2DA7" w:rsidP="001A2DF0">
            <w:pPr>
              <w:pStyle w:val="Tablehead"/>
              <w:rPr>
                <w:lang w:val="en-US"/>
              </w:rPr>
            </w:pPr>
            <w:r w:rsidRPr="00AF5796">
              <w:rPr>
                <w:lang w:val="en-US"/>
              </w:rPr>
              <w:t>Services</w:t>
            </w:r>
          </w:p>
        </w:tc>
        <w:tc>
          <w:tcPr>
            <w:tcW w:w="898" w:type="pct"/>
            <w:tcBorders>
              <w:top w:val="single" w:sz="4" w:space="0" w:color="auto"/>
              <w:left w:val="single" w:sz="4" w:space="0" w:color="auto"/>
              <w:bottom w:val="single" w:sz="4" w:space="0" w:color="auto"/>
              <w:right w:val="single" w:sz="4" w:space="0" w:color="auto"/>
            </w:tcBorders>
            <w:vAlign w:val="center"/>
          </w:tcPr>
          <w:p w:rsidR="005D2DA7" w:rsidRPr="00AF5796" w:rsidRDefault="005D2DA7" w:rsidP="001A2DF0">
            <w:pPr>
              <w:pStyle w:val="Tablehead"/>
              <w:rPr>
                <w:lang w:val="en-US"/>
              </w:rPr>
            </w:pPr>
            <w:r w:rsidRPr="00AF5796">
              <w:rPr>
                <w:lang w:val="en-US"/>
              </w:rPr>
              <w:t>Year</w:t>
            </w:r>
          </w:p>
        </w:tc>
        <w:tc>
          <w:tcPr>
            <w:tcW w:w="1181" w:type="pct"/>
            <w:tcBorders>
              <w:top w:val="single" w:sz="4" w:space="0" w:color="auto"/>
              <w:left w:val="single" w:sz="4" w:space="0" w:color="auto"/>
              <w:bottom w:val="single" w:sz="4" w:space="0" w:color="auto"/>
              <w:right w:val="single" w:sz="4" w:space="0" w:color="auto"/>
            </w:tcBorders>
            <w:vAlign w:val="center"/>
          </w:tcPr>
          <w:p w:rsidR="005D2DA7" w:rsidRPr="00AF5796" w:rsidDel="00293BA0" w:rsidRDefault="005D2DA7" w:rsidP="00516947">
            <w:pPr>
              <w:pStyle w:val="Tablehead"/>
              <w:rPr>
                <w:lang w:val="en-US"/>
              </w:rPr>
            </w:pPr>
            <w:r w:rsidRPr="00AF5796">
              <w:rPr>
                <w:lang w:val="en-US"/>
              </w:rPr>
              <w:t>Value in PB/month</w:t>
            </w:r>
          </w:p>
        </w:tc>
        <w:tc>
          <w:tcPr>
            <w:tcW w:w="1324" w:type="pct"/>
            <w:tcBorders>
              <w:top w:val="single" w:sz="4" w:space="0" w:color="auto"/>
              <w:left w:val="single" w:sz="4" w:space="0" w:color="auto"/>
              <w:bottom w:val="single" w:sz="4" w:space="0" w:color="auto"/>
              <w:right w:val="single" w:sz="4" w:space="0" w:color="auto"/>
            </w:tcBorders>
          </w:tcPr>
          <w:p w:rsidR="005D2DA7" w:rsidRPr="00AF5796" w:rsidDel="00293BA0" w:rsidRDefault="005D2DA7" w:rsidP="001A2DF0">
            <w:pPr>
              <w:pStyle w:val="Tablehead"/>
              <w:rPr>
                <w:lang w:val="en-US"/>
              </w:rPr>
            </w:pPr>
            <w:r w:rsidRPr="00AF5796">
              <w:rPr>
                <w:lang w:val="en-US"/>
              </w:rPr>
              <w:t xml:space="preserve">% of global traffic </w:t>
            </w:r>
            <w:r w:rsidR="00166329">
              <w:rPr>
                <w:lang w:val="en-US"/>
              </w:rPr>
              <w:br/>
            </w:r>
            <w:r w:rsidRPr="00AF5796">
              <w:rPr>
                <w:lang w:val="en-US"/>
              </w:rPr>
              <w:t>in 2014</w:t>
            </w:r>
          </w:p>
        </w:tc>
      </w:tr>
      <w:tr w:rsidR="005D2DA7" w:rsidRPr="00166329" w:rsidTr="00D513B3">
        <w:trPr>
          <w:cantSplit/>
          <w:trHeight w:val="360"/>
          <w:jc w:val="center"/>
        </w:trPr>
        <w:tc>
          <w:tcPr>
            <w:tcW w:w="1597" w:type="pct"/>
            <w:tcBorders>
              <w:top w:val="single" w:sz="4" w:space="0" w:color="auto"/>
            </w:tcBorders>
          </w:tcPr>
          <w:p w:rsidR="005D2DA7" w:rsidRPr="00AF5796" w:rsidRDefault="005D2DA7" w:rsidP="001A2DF0">
            <w:pPr>
              <w:pStyle w:val="Tabletext"/>
              <w:rPr>
                <w:lang w:val="en-US"/>
              </w:rPr>
            </w:pPr>
            <w:r w:rsidRPr="00AF5796">
              <w:rPr>
                <w:lang w:val="en-US"/>
              </w:rPr>
              <w:t>Video</w:t>
            </w:r>
          </w:p>
        </w:tc>
        <w:tc>
          <w:tcPr>
            <w:tcW w:w="898" w:type="pct"/>
            <w:tcBorders>
              <w:top w:val="single" w:sz="4" w:space="0" w:color="auto"/>
            </w:tcBorders>
            <w:vAlign w:val="center"/>
          </w:tcPr>
          <w:p w:rsidR="005D2DA7" w:rsidRPr="00AF5796" w:rsidRDefault="005D2DA7" w:rsidP="001A2DF0">
            <w:pPr>
              <w:pStyle w:val="Tabletext"/>
              <w:jc w:val="center"/>
              <w:rPr>
                <w:lang w:val="en-US"/>
              </w:rPr>
            </w:pPr>
            <w:r w:rsidRPr="00AF5796">
              <w:rPr>
                <w:lang w:val="en-US"/>
              </w:rPr>
              <w:t>2014</w:t>
            </w:r>
          </w:p>
        </w:tc>
        <w:tc>
          <w:tcPr>
            <w:tcW w:w="1181" w:type="pct"/>
            <w:tcBorders>
              <w:top w:val="single" w:sz="4" w:space="0" w:color="auto"/>
            </w:tcBorders>
          </w:tcPr>
          <w:p w:rsidR="005D2DA7" w:rsidRPr="00AF5796" w:rsidDel="00293BA0" w:rsidRDefault="005D2DA7" w:rsidP="001A2DF0">
            <w:pPr>
              <w:pStyle w:val="Tabletext"/>
              <w:jc w:val="center"/>
              <w:rPr>
                <w:lang w:val="en-US"/>
              </w:rPr>
            </w:pPr>
            <w:r w:rsidRPr="00AF5796">
              <w:rPr>
                <w:lang w:val="en-US"/>
              </w:rPr>
              <w:t>1 400</w:t>
            </w:r>
          </w:p>
        </w:tc>
        <w:tc>
          <w:tcPr>
            <w:tcW w:w="1324" w:type="pct"/>
            <w:tcBorders>
              <w:top w:val="single" w:sz="4" w:space="0" w:color="auto"/>
            </w:tcBorders>
          </w:tcPr>
          <w:p w:rsidR="005D2DA7" w:rsidRPr="00AF5796" w:rsidDel="00293BA0" w:rsidRDefault="005D2DA7" w:rsidP="001A2DF0">
            <w:pPr>
              <w:pStyle w:val="Tabletext"/>
              <w:jc w:val="center"/>
              <w:rPr>
                <w:lang w:val="en-US"/>
              </w:rPr>
            </w:pPr>
            <w:r w:rsidRPr="00AF5796">
              <w:rPr>
                <w:lang w:val="en-US"/>
              </w:rPr>
              <w:t>43%</w:t>
            </w:r>
          </w:p>
        </w:tc>
      </w:tr>
      <w:tr w:rsidR="005D2DA7" w:rsidRPr="00166329" w:rsidTr="00D513B3">
        <w:trPr>
          <w:cantSplit/>
          <w:trHeight w:val="304"/>
          <w:jc w:val="center"/>
        </w:trPr>
        <w:tc>
          <w:tcPr>
            <w:tcW w:w="1597" w:type="pct"/>
          </w:tcPr>
          <w:p w:rsidR="005D2DA7" w:rsidRPr="00AF5796" w:rsidRDefault="005D2DA7" w:rsidP="001A2DF0">
            <w:pPr>
              <w:pStyle w:val="Tabletext"/>
              <w:rPr>
                <w:lang w:val="en-US"/>
              </w:rPr>
            </w:pPr>
            <w:r w:rsidRPr="00AF5796">
              <w:rPr>
                <w:lang w:val="en-US"/>
              </w:rPr>
              <w:t>Other</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540</w:t>
            </w:r>
          </w:p>
        </w:tc>
        <w:tc>
          <w:tcPr>
            <w:tcW w:w="1324" w:type="pct"/>
          </w:tcPr>
          <w:p w:rsidR="005D2DA7" w:rsidRPr="00AF5796" w:rsidDel="00293BA0" w:rsidRDefault="005D2DA7" w:rsidP="001A2DF0">
            <w:pPr>
              <w:pStyle w:val="Tabletext"/>
              <w:jc w:val="center"/>
              <w:rPr>
                <w:lang w:val="en-US"/>
              </w:rPr>
            </w:pPr>
            <w:r w:rsidRPr="00AF5796">
              <w:rPr>
                <w:lang w:val="en-US"/>
              </w:rPr>
              <w:t>17%</w:t>
            </w:r>
          </w:p>
        </w:tc>
      </w:tr>
      <w:tr w:rsidR="005D2DA7" w:rsidRPr="00166329" w:rsidTr="00D513B3">
        <w:trPr>
          <w:cantSplit/>
          <w:trHeight w:val="304"/>
          <w:jc w:val="center"/>
        </w:trPr>
        <w:tc>
          <w:tcPr>
            <w:tcW w:w="1597" w:type="pct"/>
          </w:tcPr>
          <w:p w:rsidR="005D2DA7" w:rsidRPr="00AF5796" w:rsidRDefault="005D2DA7" w:rsidP="001A2DF0">
            <w:pPr>
              <w:pStyle w:val="Tabletext"/>
              <w:rPr>
                <w:lang w:val="en-US"/>
              </w:rPr>
            </w:pPr>
            <w:r w:rsidRPr="00AF5796">
              <w:rPr>
                <w:lang w:val="en-US"/>
              </w:rPr>
              <w:t>Social networking</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420</w:t>
            </w:r>
          </w:p>
        </w:tc>
        <w:tc>
          <w:tcPr>
            <w:tcW w:w="1324" w:type="pct"/>
          </w:tcPr>
          <w:p w:rsidR="005D2DA7" w:rsidRPr="00AF5796" w:rsidDel="00293BA0" w:rsidRDefault="005D2DA7" w:rsidP="001A2DF0">
            <w:pPr>
              <w:pStyle w:val="Tabletext"/>
              <w:jc w:val="center"/>
              <w:rPr>
                <w:lang w:val="en-US"/>
              </w:rPr>
            </w:pPr>
            <w:r w:rsidRPr="00AF5796">
              <w:rPr>
                <w:lang w:val="en-US"/>
              </w:rPr>
              <w:t>13%</w:t>
            </w:r>
          </w:p>
        </w:tc>
      </w:tr>
      <w:tr w:rsidR="005D2DA7" w:rsidRPr="00166329" w:rsidTr="00D513B3">
        <w:trPr>
          <w:cantSplit/>
          <w:trHeight w:val="258"/>
          <w:jc w:val="center"/>
        </w:trPr>
        <w:tc>
          <w:tcPr>
            <w:tcW w:w="1597" w:type="pct"/>
          </w:tcPr>
          <w:p w:rsidR="005D2DA7" w:rsidRPr="00AF5796" w:rsidRDefault="005D2DA7" w:rsidP="001A2DF0">
            <w:pPr>
              <w:pStyle w:val="Tabletext"/>
              <w:rPr>
                <w:lang w:val="en-US"/>
              </w:rPr>
            </w:pPr>
            <w:r w:rsidRPr="00AF5796">
              <w:rPr>
                <w:lang w:val="en-US"/>
              </w:rPr>
              <w:t>Web browsing</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290</w:t>
            </w:r>
          </w:p>
        </w:tc>
        <w:tc>
          <w:tcPr>
            <w:tcW w:w="1324" w:type="pct"/>
          </w:tcPr>
          <w:p w:rsidR="005D2DA7" w:rsidRPr="00AF5796" w:rsidDel="00293BA0" w:rsidRDefault="005D2DA7" w:rsidP="001A2DF0">
            <w:pPr>
              <w:pStyle w:val="Tabletext"/>
              <w:jc w:val="center"/>
              <w:rPr>
                <w:lang w:val="en-US"/>
              </w:rPr>
            </w:pPr>
            <w:r w:rsidRPr="00AF5796">
              <w:rPr>
                <w:lang w:val="en-US"/>
              </w:rPr>
              <w:t>9%</w:t>
            </w:r>
          </w:p>
        </w:tc>
      </w:tr>
      <w:tr w:rsidR="005D2DA7" w:rsidRPr="00166329" w:rsidTr="00D513B3">
        <w:trPr>
          <w:cantSplit/>
          <w:jc w:val="center"/>
        </w:trPr>
        <w:tc>
          <w:tcPr>
            <w:tcW w:w="1597" w:type="pct"/>
          </w:tcPr>
          <w:p w:rsidR="005D2DA7" w:rsidRPr="00AF5796" w:rsidRDefault="005D2DA7" w:rsidP="001A2DF0">
            <w:pPr>
              <w:pStyle w:val="Tabletext"/>
              <w:rPr>
                <w:lang w:val="en-US"/>
              </w:rPr>
            </w:pPr>
            <w:r w:rsidRPr="00AF5796">
              <w:rPr>
                <w:lang w:val="en-US"/>
              </w:rPr>
              <w:t>Encrypted</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210</w:t>
            </w:r>
          </w:p>
        </w:tc>
        <w:tc>
          <w:tcPr>
            <w:tcW w:w="1324" w:type="pct"/>
          </w:tcPr>
          <w:p w:rsidR="005D2DA7" w:rsidRPr="00AF5796" w:rsidDel="00293BA0" w:rsidRDefault="005D2DA7" w:rsidP="001A2DF0">
            <w:pPr>
              <w:pStyle w:val="Tabletext"/>
              <w:jc w:val="center"/>
              <w:rPr>
                <w:lang w:val="en-US"/>
              </w:rPr>
            </w:pPr>
            <w:r w:rsidRPr="00AF5796">
              <w:rPr>
                <w:lang w:val="en-US"/>
              </w:rPr>
              <w:t>6%</w:t>
            </w:r>
          </w:p>
        </w:tc>
      </w:tr>
      <w:tr w:rsidR="005D2DA7" w:rsidRPr="00AF5796" w:rsidTr="00D513B3">
        <w:trPr>
          <w:cantSplit/>
          <w:jc w:val="center"/>
        </w:trPr>
        <w:tc>
          <w:tcPr>
            <w:tcW w:w="1597" w:type="pct"/>
          </w:tcPr>
          <w:p w:rsidR="005D2DA7" w:rsidRPr="00AF5796" w:rsidRDefault="005D2DA7" w:rsidP="001A2DF0">
            <w:pPr>
              <w:pStyle w:val="Tabletext"/>
              <w:rPr>
                <w:lang w:val="en-US"/>
              </w:rPr>
            </w:pPr>
            <w:r w:rsidRPr="00AF5796">
              <w:rPr>
                <w:lang w:val="en-US"/>
              </w:rPr>
              <w:t>Software download &amp; update</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200</w:t>
            </w:r>
          </w:p>
        </w:tc>
        <w:tc>
          <w:tcPr>
            <w:tcW w:w="1324" w:type="pct"/>
          </w:tcPr>
          <w:p w:rsidR="005D2DA7" w:rsidRPr="00AF5796" w:rsidDel="00293BA0" w:rsidRDefault="005D2DA7" w:rsidP="001A2DF0">
            <w:pPr>
              <w:pStyle w:val="Tabletext"/>
              <w:jc w:val="center"/>
              <w:rPr>
                <w:lang w:val="en-US"/>
              </w:rPr>
            </w:pPr>
            <w:r w:rsidRPr="00AF5796">
              <w:rPr>
                <w:lang w:val="en-US"/>
              </w:rPr>
              <w:t>6%</w:t>
            </w:r>
          </w:p>
        </w:tc>
      </w:tr>
      <w:tr w:rsidR="005D2DA7" w:rsidRPr="00AF5796" w:rsidTr="00D513B3">
        <w:trPr>
          <w:cantSplit/>
          <w:jc w:val="center"/>
        </w:trPr>
        <w:tc>
          <w:tcPr>
            <w:tcW w:w="1597" w:type="pct"/>
          </w:tcPr>
          <w:p w:rsidR="005D2DA7" w:rsidRPr="00AF5796" w:rsidRDefault="005D2DA7" w:rsidP="001A2DF0">
            <w:pPr>
              <w:pStyle w:val="Tabletext"/>
              <w:rPr>
                <w:lang w:val="en-US"/>
              </w:rPr>
            </w:pPr>
            <w:r w:rsidRPr="00AF5796">
              <w:rPr>
                <w:lang w:val="en-US"/>
              </w:rPr>
              <w:t xml:space="preserve">File sharing </w:t>
            </w:r>
          </w:p>
        </w:tc>
        <w:tc>
          <w:tcPr>
            <w:tcW w:w="898" w:type="pct"/>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130</w:t>
            </w:r>
          </w:p>
        </w:tc>
        <w:tc>
          <w:tcPr>
            <w:tcW w:w="1324" w:type="pct"/>
          </w:tcPr>
          <w:p w:rsidR="005D2DA7" w:rsidRPr="00AF5796" w:rsidDel="00293BA0" w:rsidRDefault="005D2DA7" w:rsidP="001A2DF0">
            <w:pPr>
              <w:pStyle w:val="Tabletext"/>
              <w:jc w:val="center"/>
              <w:rPr>
                <w:lang w:val="en-US"/>
              </w:rPr>
            </w:pPr>
            <w:r w:rsidRPr="00AF5796">
              <w:rPr>
                <w:lang w:val="en-US"/>
              </w:rPr>
              <w:t>4%</w:t>
            </w:r>
          </w:p>
        </w:tc>
      </w:tr>
      <w:tr w:rsidR="005D2DA7" w:rsidRPr="00AF5796" w:rsidTr="00D513B3">
        <w:trPr>
          <w:cantSplit/>
          <w:jc w:val="center"/>
        </w:trPr>
        <w:tc>
          <w:tcPr>
            <w:tcW w:w="1597" w:type="pct"/>
          </w:tcPr>
          <w:p w:rsidR="005D2DA7" w:rsidRPr="00AF5796" w:rsidRDefault="005D2DA7" w:rsidP="001A2DF0">
            <w:pPr>
              <w:pStyle w:val="Tabletext"/>
              <w:rPr>
                <w:lang w:val="en-US"/>
              </w:rPr>
            </w:pPr>
            <w:r w:rsidRPr="00AF5796">
              <w:rPr>
                <w:lang w:val="en-US"/>
              </w:rPr>
              <w:t>Audio</w:t>
            </w:r>
          </w:p>
        </w:tc>
        <w:tc>
          <w:tcPr>
            <w:tcW w:w="898" w:type="pct"/>
          </w:tcPr>
          <w:p w:rsidR="005D2DA7" w:rsidRPr="00AF5796" w:rsidDel="00293BA0" w:rsidRDefault="005D2DA7" w:rsidP="001A2DF0">
            <w:pPr>
              <w:pStyle w:val="Tabletext"/>
              <w:jc w:val="center"/>
              <w:rPr>
                <w:lang w:val="en-US"/>
              </w:rPr>
            </w:pPr>
            <w:r w:rsidRPr="00AF5796">
              <w:rPr>
                <w:lang w:val="en-US"/>
              </w:rPr>
              <w:t>2014</w:t>
            </w:r>
          </w:p>
        </w:tc>
        <w:tc>
          <w:tcPr>
            <w:tcW w:w="1181" w:type="pct"/>
          </w:tcPr>
          <w:p w:rsidR="005D2DA7" w:rsidRPr="00AF5796" w:rsidRDefault="005D2DA7" w:rsidP="001A2DF0">
            <w:pPr>
              <w:pStyle w:val="Tabletext"/>
              <w:jc w:val="center"/>
              <w:rPr>
                <w:lang w:val="en-US"/>
              </w:rPr>
            </w:pPr>
            <w:r w:rsidRPr="00AF5796">
              <w:rPr>
                <w:lang w:val="en-US"/>
              </w:rPr>
              <w:t>70</w:t>
            </w:r>
          </w:p>
        </w:tc>
        <w:tc>
          <w:tcPr>
            <w:tcW w:w="1324" w:type="pct"/>
          </w:tcPr>
          <w:p w:rsidR="005D2DA7" w:rsidRPr="00AF5796" w:rsidRDefault="005D2DA7" w:rsidP="001A2DF0">
            <w:pPr>
              <w:pStyle w:val="Tabletext"/>
              <w:jc w:val="center"/>
              <w:rPr>
                <w:lang w:val="en-US"/>
              </w:rPr>
            </w:pPr>
            <w:r w:rsidRPr="00AF5796">
              <w:rPr>
                <w:lang w:val="en-US"/>
              </w:rPr>
              <w:t>2%</w:t>
            </w:r>
          </w:p>
        </w:tc>
      </w:tr>
    </w:tbl>
    <w:p w:rsidR="005D2DA7" w:rsidRPr="00AF5796" w:rsidRDefault="005D2DA7" w:rsidP="00D27219">
      <w:pPr>
        <w:pStyle w:val="Heading2"/>
        <w:rPr>
          <w:lang w:val="en-US"/>
        </w:rPr>
      </w:pPr>
      <w:bookmarkStart w:id="44" w:name="_Toc427932307"/>
      <w:bookmarkStart w:id="45" w:name="_Toc427935116"/>
      <w:r w:rsidRPr="00AF5796">
        <w:rPr>
          <w:lang w:val="en-US"/>
        </w:rPr>
        <w:t>6.3</w:t>
      </w:r>
      <w:r w:rsidRPr="00AF5796">
        <w:rPr>
          <w:lang w:val="en-US"/>
        </w:rPr>
        <w:tab/>
        <w:t>Traffic asymmetry volumes in recent years</w:t>
      </w:r>
      <w:bookmarkEnd w:id="44"/>
      <w:bookmarkEnd w:id="45"/>
    </w:p>
    <w:p w:rsidR="00D27219" w:rsidRPr="00AF5796" w:rsidRDefault="005D2DA7" w:rsidP="00AF4361">
      <w:pPr>
        <w:rPr>
          <w:color w:val="000000" w:themeColor="text1"/>
          <w:lang w:val="en-US"/>
        </w:rPr>
      </w:pPr>
      <w:r w:rsidRPr="00AF5796">
        <w:rPr>
          <w:lang w:val="en-US"/>
        </w:rPr>
        <w:t>Data continues to be a major area of growth for mobile operators as emphasized in Report</w:t>
      </w:r>
      <w:r w:rsidR="00E06088" w:rsidRPr="00AF5796">
        <w:rPr>
          <w:lang w:val="en-US"/>
        </w:rPr>
        <w:t> </w:t>
      </w:r>
      <w:r w:rsidRPr="00AF5796">
        <w:rPr>
          <w:lang w:val="en-US"/>
        </w:rPr>
        <w:t>ITU</w:t>
      </w:r>
      <w:r w:rsidR="00E06088" w:rsidRPr="00AF5796">
        <w:rPr>
          <w:lang w:val="en-US"/>
        </w:rPr>
        <w:noBreakHyphen/>
      </w:r>
      <w:r w:rsidRPr="00AF5796">
        <w:rPr>
          <w:lang w:val="en-US"/>
        </w:rPr>
        <w:t>R</w:t>
      </w:r>
      <w:r w:rsidR="00E06088" w:rsidRPr="00AF5796">
        <w:rPr>
          <w:lang w:val="en-US"/>
        </w:rPr>
        <w:t> </w:t>
      </w:r>
      <w:r w:rsidRPr="00AF5796">
        <w:rPr>
          <w:lang w:val="en-US"/>
        </w:rPr>
        <w:t>M.2038, which says that “in broadband multimedia communications, asymmetric traffic</w:t>
      </w:r>
      <w:r w:rsidR="00AF5FE4" w:rsidRPr="00AF5796">
        <w:rPr>
          <w:lang w:val="en-US"/>
        </w:rPr>
        <w:t xml:space="preserve"> is envisaged to be dominant”. </w:t>
      </w:r>
      <w:r w:rsidRPr="00AF5796">
        <w:rPr>
          <w:lang w:val="en-US"/>
        </w:rPr>
        <w:t xml:space="preserve">A </w:t>
      </w:r>
      <w:r w:rsidRPr="00AF5796">
        <w:rPr>
          <w:color w:val="000000" w:themeColor="text1"/>
          <w:lang w:val="en-US"/>
        </w:rPr>
        <w:t>GSMA Report</w:t>
      </w:r>
      <w:r w:rsidRPr="00AF5796">
        <w:rPr>
          <w:rStyle w:val="FootnoteReference"/>
          <w:color w:val="000000" w:themeColor="text1"/>
          <w:lang w:val="en-US"/>
        </w:rPr>
        <w:footnoteReference w:id="29"/>
      </w:r>
      <w:r w:rsidRPr="00AF5796">
        <w:rPr>
          <w:color w:val="000000" w:themeColor="text1"/>
          <w:lang w:val="en-US"/>
        </w:rPr>
        <w:t xml:space="preserve"> confirms this trend, saying that in </w:t>
      </w:r>
      <w:r w:rsidRPr="00AF5796">
        <w:rPr>
          <w:color w:val="000000" w:themeColor="text1"/>
          <w:lang w:val="en-US"/>
        </w:rPr>
        <w:lastRenderedPageBreak/>
        <w:t>September</w:t>
      </w:r>
      <w:r w:rsidR="00AF4361">
        <w:rPr>
          <w:color w:val="000000" w:themeColor="text1"/>
          <w:lang w:val="en-US"/>
        </w:rPr>
        <w:t> </w:t>
      </w:r>
      <w:r w:rsidRPr="00AF5796">
        <w:rPr>
          <w:color w:val="000000" w:themeColor="text1"/>
          <w:lang w:val="en-US"/>
        </w:rPr>
        <w:t>2013, 75% of the data traffic of one of the major mobile network operators in Europe was video streaming and internet browsing.</w:t>
      </w:r>
    </w:p>
    <w:p w:rsidR="005D2DA7" w:rsidRPr="00AF5796" w:rsidRDefault="005D2DA7" w:rsidP="00D27219">
      <w:pPr>
        <w:rPr>
          <w:lang w:val="en-US"/>
        </w:rPr>
      </w:pPr>
      <w:r w:rsidRPr="00AF5796">
        <w:rPr>
          <w:lang w:val="en-US"/>
        </w:rPr>
        <w:t>Table 12 shows the data traffic volume measured in Japan in September 2014</w:t>
      </w:r>
      <w:r w:rsidRPr="00AF5796">
        <w:rPr>
          <w:position w:val="6"/>
          <w:sz w:val="18"/>
          <w:lang w:val="en-US"/>
        </w:rPr>
        <w:footnoteReference w:id="30"/>
      </w:r>
      <w:r w:rsidRPr="00AF5796">
        <w:rPr>
          <w:lang w:val="en-US"/>
        </w:rPr>
        <w:t>.</w:t>
      </w:r>
    </w:p>
    <w:p w:rsidR="005D2DA7" w:rsidRPr="00AF5796" w:rsidRDefault="000F031F" w:rsidP="005D2DA7">
      <w:pPr>
        <w:pStyle w:val="TableNo"/>
        <w:rPr>
          <w:lang w:val="en-US"/>
        </w:rPr>
      </w:pPr>
      <w:r w:rsidRPr="00AF5796">
        <w:rPr>
          <w:lang w:val="en-US"/>
        </w:rPr>
        <w:t xml:space="preserve">TABLE </w:t>
      </w:r>
      <w:r w:rsidR="005D2DA7" w:rsidRPr="00AF5796">
        <w:rPr>
          <w:lang w:val="en-US"/>
        </w:rPr>
        <w:t>12</w:t>
      </w:r>
    </w:p>
    <w:p w:rsidR="005D2DA7" w:rsidRPr="00AF5796" w:rsidRDefault="005D2DA7" w:rsidP="005D2DA7">
      <w:pPr>
        <w:pStyle w:val="Tabletitle"/>
        <w:rPr>
          <w:lang w:val="en-US"/>
        </w:rPr>
      </w:pPr>
      <w:r w:rsidRPr="00AF5796">
        <w:rPr>
          <w:lang w:val="en-US"/>
        </w:rPr>
        <w:t>Statistics on mobile network traffic in Japan (data only,</w:t>
      </w:r>
      <w:r w:rsidRPr="00AF5796">
        <w:rPr>
          <w:color w:val="FF0000"/>
          <w:lang w:val="en-US" w:eastAsia="ja-JP"/>
        </w:rPr>
        <w:t xml:space="preserve"> </w:t>
      </w:r>
      <w:r w:rsidRPr="00AF5796">
        <w:rPr>
          <w:lang w:val="en-US" w:eastAsia="ja-JP"/>
        </w:rPr>
        <w:t>December</w:t>
      </w:r>
      <w:r w:rsidRPr="00AF5796">
        <w:rPr>
          <w:lang w:val="en-US"/>
        </w:rPr>
        <w:t xml:space="preserve"> 2014)</w:t>
      </w:r>
    </w:p>
    <w:tbl>
      <w:tblPr>
        <w:tblpPr w:leftFromText="141" w:rightFromText="141" w:vertAnchor="text" w:horzAnchor="margin" w:tblpXSpec="center" w:tblpY="1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1555"/>
        <w:gridCol w:w="1555"/>
        <w:gridCol w:w="1555"/>
      </w:tblGrid>
      <w:tr w:rsidR="005D2DA7" w:rsidRPr="00AF5796" w:rsidTr="00D27219">
        <w:tc>
          <w:tcPr>
            <w:tcW w:w="4536" w:type="dxa"/>
            <w:shd w:val="clear" w:color="auto" w:fill="auto"/>
          </w:tcPr>
          <w:p w:rsidR="005D2DA7" w:rsidRPr="00AF5796" w:rsidRDefault="005D2DA7" w:rsidP="00D27219">
            <w:pPr>
              <w:pStyle w:val="Tablehead"/>
              <w:rPr>
                <w:lang w:val="en-US"/>
              </w:rPr>
            </w:pPr>
            <w:r w:rsidRPr="00AF5796">
              <w:rPr>
                <w:lang w:val="en-US"/>
              </w:rPr>
              <w:t>Measured traffic data rate</w:t>
            </w:r>
          </w:p>
        </w:tc>
        <w:tc>
          <w:tcPr>
            <w:tcW w:w="1418" w:type="dxa"/>
            <w:shd w:val="clear" w:color="auto" w:fill="auto"/>
          </w:tcPr>
          <w:p w:rsidR="005D2DA7" w:rsidRPr="00AF5796" w:rsidRDefault="005D2DA7" w:rsidP="00D27219">
            <w:pPr>
              <w:pStyle w:val="Tablehead"/>
              <w:rPr>
                <w:lang w:val="en-US"/>
              </w:rPr>
            </w:pPr>
            <w:r w:rsidRPr="00AF5796">
              <w:rPr>
                <w:lang w:val="en-US"/>
              </w:rPr>
              <w:t>Uplink</w:t>
            </w:r>
          </w:p>
        </w:tc>
        <w:tc>
          <w:tcPr>
            <w:tcW w:w="1418" w:type="dxa"/>
            <w:shd w:val="clear" w:color="auto" w:fill="auto"/>
          </w:tcPr>
          <w:p w:rsidR="005D2DA7" w:rsidRPr="00AF5796" w:rsidRDefault="005D2DA7" w:rsidP="00D27219">
            <w:pPr>
              <w:pStyle w:val="Tablehead"/>
              <w:rPr>
                <w:lang w:val="en-US"/>
              </w:rPr>
            </w:pPr>
            <w:r w:rsidRPr="00AF5796">
              <w:rPr>
                <w:lang w:val="en-US"/>
              </w:rPr>
              <w:t>Downlink</w:t>
            </w:r>
          </w:p>
        </w:tc>
        <w:tc>
          <w:tcPr>
            <w:tcW w:w="1418" w:type="dxa"/>
            <w:shd w:val="clear" w:color="auto" w:fill="auto"/>
          </w:tcPr>
          <w:p w:rsidR="005D2DA7" w:rsidRPr="00AF5796" w:rsidRDefault="005D2DA7" w:rsidP="00D27219">
            <w:pPr>
              <w:pStyle w:val="Tablehead"/>
              <w:rPr>
                <w:lang w:val="en-US"/>
              </w:rPr>
            </w:pPr>
            <w:r w:rsidRPr="00AF5796">
              <w:rPr>
                <w:lang w:val="en-US"/>
              </w:rPr>
              <w:t>UL/DL ratio</w:t>
            </w:r>
          </w:p>
        </w:tc>
      </w:tr>
      <w:tr w:rsidR="005D2DA7" w:rsidRPr="00AF5796" w:rsidTr="00D27219">
        <w:tc>
          <w:tcPr>
            <w:tcW w:w="4536" w:type="dxa"/>
            <w:shd w:val="clear" w:color="auto" w:fill="auto"/>
          </w:tcPr>
          <w:p w:rsidR="005D2DA7" w:rsidRPr="00AF5796" w:rsidRDefault="005D2DA7" w:rsidP="00D27219">
            <w:pPr>
              <w:pStyle w:val="Tabletext"/>
              <w:rPr>
                <w:b/>
                <w:lang w:val="en-US"/>
              </w:rPr>
            </w:pPr>
            <w:r w:rsidRPr="00AF5796">
              <w:rPr>
                <w:lang w:val="en-US"/>
              </w:rPr>
              <w:t>Average data traffic rate counted on GGSN/EPC per month</w:t>
            </w:r>
            <w:r w:rsidR="00D27219" w:rsidRPr="00AF5796">
              <w:rPr>
                <w:lang w:val="en-US"/>
              </w:rPr>
              <w:t xml:space="preserve"> </w:t>
            </w:r>
            <w:r w:rsidRPr="00AF5796">
              <w:rPr>
                <w:lang w:val="en-US"/>
              </w:rPr>
              <w:t>(Increase from the last year)</w:t>
            </w:r>
          </w:p>
        </w:tc>
        <w:tc>
          <w:tcPr>
            <w:tcW w:w="1418" w:type="dxa"/>
            <w:shd w:val="clear" w:color="auto" w:fill="auto"/>
          </w:tcPr>
          <w:p w:rsidR="005D2DA7" w:rsidRPr="00AF5796" w:rsidRDefault="005D2DA7" w:rsidP="00071EB3">
            <w:pPr>
              <w:pStyle w:val="Tabletext"/>
              <w:jc w:val="center"/>
              <w:rPr>
                <w:b/>
                <w:lang w:val="en-US"/>
              </w:rPr>
            </w:pPr>
            <w:r w:rsidRPr="00AF5796">
              <w:rPr>
                <w:lang w:val="en-US" w:eastAsia="ja-JP"/>
              </w:rPr>
              <w:t>114.3</w:t>
            </w:r>
            <w:r w:rsidRPr="00AF5796">
              <w:rPr>
                <w:lang w:val="en-US"/>
              </w:rPr>
              <w:t xml:space="preserve"> Gbps</w:t>
            </w:r>
          </w:p>
          <w:p w:rsidR="005D2DA7" w:rsidRPr="00AF5796" w:rsidRDefault="005D2DA7" w:rsidP="00AF4361">
            <w:pPr>
              <w:pStyle w:val="Tabletext"/>
              <w:jc w:val="center"/>
              <w:rPr>
                <w:b/>
                <w:lang w:val="en-US"/>
              </w:rPr>
            </w:pPr>
            <w:r w:rsidRPr="00AF5796">
              <w:rPr>
                <w:lang w:val="en-US"/>
              </w:rPr>
              <w:t>(+75%)</w:t>
            </w:r>
          </w:p>
        </w:tc>
        <w:tc>
          <w:tcPr>
            <w:tcW w:w="1418" w:type="dxa"/>
            <w:shd w:val="clear" w:color="auto" w:fill="auto"/>
          </w:tcPr>
          <w:p w:rsidR="005D2DA7" w:rsidRPr="00AF5796" w:rsidRDefault="005D2DA7" w:rsidP="00071EB3">
            <w:pPr>
              <w:pStyle w:val="Tabletext"/>
              <w:jc w:val="center"/>
              <w:rPr>
                <w:b/>
                <w:lang w:val="en-US"/>
              </w:rPr>
            </w:pPr>
            <w:r w:rsidRPr="00AF5796">
              <w:rPr>
                <w:lang w:val="en-US"/>
              </w:rPr>
              <w:t>757.5</w:t>
            </w:r>
            <w:r w:rsidRPr="00AF5796">
              <w:rPr>
                <w:lang w:val="en-US" w:eastAsia="ja-JP"/>
              </w:rPr>
              <w:t xml:space="preserve"> </w:t>
            </w:r>
            <w:r w:rsidRPr="00AF5796">
              <w:rPr>
                <w:lang w:val="en-US"/>
              </w:rPr>
              <w:t>Gbps</w:t>
            </w:r>
          </w:p>
          <w:p w:rsidR="005D2DA7" w:rsidRPr="00AF5796" w:rsidRDefault="005D2DA7" w:rsidP="00AF4361">
            <w:pPr>
              <w:pStyle w:val="Tabletext"/>
              <w:jc w:val="center"/>
              <w:rPr>
                <w:b/>
                <w:lang w:val="en-US"/>
              </w:rPr>
            </w:pPr>
            <w:r w:rsidRPr="00AF5796">
              <w:rPr>
                <w:lang w:val="en-US"/>
              </w:rPr>
              <w:t>(+</w:t>
            </w:r>
            <w:r w:rsidRPr="00AF5796">
              <w:rPr>
                <w:lang w:val="en-US" w:eastAsia="ja-JP"/>
              </w:rPr>
              <w:t>45</w:t>
            </w:r>
            <w:r w:rsidRPr="00AF5796">
              <w:rPr>
                <w:lang w:val="en-US"/>
              </w:rPr>
              <w:t>%)</w:t>
            </w:r>
          </w:p>
        </w:tc>
        <w:tc>
          <w:tcPr>
            <w:tcW w:w="1418" w:type="dxa"/>
            <w:shd w:val="clear" w:color="auto" w:fill="auto"/>
          </w:tcPr>
          <w:p w:rsidR="005D2DA7" w:rsidRPr="00AF5796" w:rsidRDefault="005D2DA7" w:rsidP="00071EB3">
            <w:pPr>
              <w:pStyle w:val="Tabletext"/>
              <w:jc w:val="center"/>
              <w:rPr>
                <w:color w:val="000000"/>
                <w:lang w:val="en-US" w:eastAsia="ja-JP"/>
              </w:rPr>
            </w:pPr>
            <w:r w:rsidRPr="00AF5796">
              <w:rPr>
                <w:color w:val="000000"/>
                <w:lang w:val="en-US"/>
              </w:rPr>
              <w:t>1/</w:t>
            </w:r>
            <w:r w:rsidRPr="00AF5796">
              <w:rPr>
                <w:color w:val="000000"/>
                <w:lang w:val="en-US" w:eastAsia="ja-JP"/>
              </w:rPr>
              <w:t>6.6</w:t>
            </w:r>
          </w:p>
        </w:tc>
      </w:tr>
      <w:tr w:rsidR="005D2DA7" w:rsidRPr="00AF5796" w:rsidTr="00D27219">
        <w:tc>
          <w:tcPr>
            <w:tcW w:w="4536" w:type="dxa"/>
            <w:shd w:val="clear" w:color="auto" w:fill="auto"/>
          </w:tcPr>
          <w:p w:rsidR="005D2DA7" w:rsidRPr="00AF5796" w:rsidRDefault="005D2DA7" w:rsidP="00D27219">
            <w:pPr>
              <w:pStyle w:val="Tabletext"/>
              <w:rPr>
                <w:b/>
                <w:lang w:val="en-US"/>
              </w:rPr>
            </w:pPr>
            <w:r w:rsidRPr="00AF5796">
              <w:rPr>
                <w:lang w:val="en-US"/>
              </w:rPr>
              <w:t>Average data traffic rate per subscription per month (Increase from the last year)</w:t>
            </w:r>
          </w:p>
        </w:tc>
        <w:tc>
          <w:tcPr>
            <w:tcW w:w="1418" w:type="dxa"/>
            <w:shd w:val="clear" w:color="auto" w:fill="auto"/>
          </w:tcPr>
          <w:p w:rsidR="005D2DA7" w:rsidRPr="00AF5796" w:rsidRDefault="005D2DA7" w:rsidP="00071EB3">
            <w:pPr>
              <w:pStyle w:val="Tabletext"/>
              <w:jc w:val="center"/>
              <w:rPr>
                <w:b/>
                <w:lang w:val="en-US"/>
              </w:rPr>
            </w:pPr>
            <w:r w:rsidRPr="00AF5796">
              <w:rPr>
                <w:lang w:val="en-US" w:eastAsia="ja-JP"/>
              </w:rPr>
              <w:t>693.9</w:t>
            </w:r>
            <w:r w:rsidRPr="00AF5796">
              <w:rPr>
                <w:lang w:val="en-US"/>
              </w:rPr>
              <w:t xml:space="preserve"> bps</w:t>
            </w:r>
          </w:p>
          <w:p w:rsidR="005D2DA7" w:rsidRPr="00AF5796" w:rsidRDefault="005D2DA7" w:rsidP="00AF4361">
            <w:pPr>
              <w:pStyle w:val="Tabletext"/>
              <w:jc w:val="center"/>
              <w:rPr>
                <w:b/>
                <w:lang w:val="en-US"/>
              </w:rPr>
            </w:pPr>
            <w:r w:rsidRPr="00AF5796">
              <w:rPr>
                <w:lang w:val="en-US"/>
              </w:rPr>
              <w:t>(+</w:t>
            </w:r>
            <w:r w:rsidRPr="00AF5796">
              <w:rPr>
                <w:lang w:val="en-US" w:eastAsia="ja-JP"/>
              </w:rPr>
              <w:t>5</w:t>
            </w:r>
            <w:r w:rsidRPr="00AF5796">
              <w:rPr>
                <w:lang w:val="en-US"/>
              </w:rPr>
              <w:t>7%)</w:t>
            </w:r>
          </w:p>
        </w:tc>
        <w:tc>
          <w:tcPr>
            <w:tcW w:w="1418" w:type="dxa"/>
            <w:shd w:val="clear" w:color="auto" w:fill="auto"/>
          </w:tcPr>
          <w:p w:rsidR="005D2DA7" w:rsidRPr="00AF5796" w:rsidRDefault="005D2DA7" w:rsidP="00071EB3">
            <w:pPr>
              <w:pStyle w:val="Tabletext"/>
              <w:jc w:val="center"/>
              <w:rPr>
                <w:b/>
                <w:lang w:val="en-US"/>
              </w:rPr>
            </w:pPr>
            <w:r w:rsidRPr="00AF5796">
              <w:rPr>
                <w:lang w:val="en-US"/>
              </w:rPr>
              <w:t>4 599</w:t>
            </w:r>
            <w:r w:rsidRPr="00AF5796">
              <w:rPr>
                <w:lang w:val="en-US" w:eastAsia="ja-JP"/>
              </w:rPr>
              <w:t xml:space="preserve"> </w:t>
            </w:r>
            <w:r w:rsidRPr="00AF5796">
              <w:rPr>
                <w:lang w:val="en-US"/>
              </w:rPr>
              <w:t>bps</w:t>
            </w:r>
          </w:p>
          <w:p w:rsidR="005D2DA7" w:rsidRPr="00AF5796" w:rsidRDefault="005D2DA7" w:rsidP="00AF4361">
            <w:pPr>
              <w:pStyle w:val="Tabletext"/>
              <w:jc w:val="center"/>
              <w:rPr>
                <w:b/>
                <w:lang w:val="en-US"/>
              </w:rPr>
            </w:pPr>
            <w:r w:rsidRPr="00AF5796">
              <w:rPr>
                <w:lang w:val="en-US"/>
              </w:rPr>
              <w:t>(+</w:t>
            </w:r>
            <w:r w:rsidRPr="00AF5796">
              <w:rPr>
                <w:lang w:val="en-US" w:eastAsia="ja-JP"/>
              </w:rPr>
              <w:t>3</w:t>
            </w:r>
            <w:r w:rsidRPr="00AF5796">
              <w:rPr>
                <w:lang w:val="en-US"/>
              </w:rPr>
              <w:t>1%)</w:t>
            </w:r>
          </w:p>
        </w:tc>
        <w:tc>
          <w:tcPr>
            <w:tcW w:w="1418" w:type="dxa"/>
            <w:shd w:val="clear" w:color="auto" w:fill="auto"/>
          </w:tcPr>
          <w:p w:rsidR="005D2DA7" w:rsidRPr="00AF5796" w:rsidRDefault="005D2DA7" w:rsidP="00071EB3">
            <w:pPr>
              <w:pStyle w:val="Tabletext"/>
              <w:jc w:val="center"/>
              <w:rPr>
                <w:color w:val="000000"/>
                <w:lang w:val="en-US" w:eastAsia="ja-JP"/>
              </w:rPr>
            </w:pPr>
            <w:r w:rsidRPr="00AF5796">
              <w:rPr>
                <w:color w:val="000000"/>
                <w:lang w:val="en-US"/>
              </w:rPr>
              <w:t>1/</w:t>
            </w:r>
            <w:r w:rsidRPr="00AF5796">
              <w:rPr>
                <w:color w:val="000000"/>
                <w:lang w:val="en-US" w:eastAsia="ja-JP"/>
              </w:rPr>
              <w:t>6.6</w:t>
            </w:r>
          </w:p>
        </w:tc>
      </w:tr>
    </w:tbl>
    <w:p w:rsidR="005D2DA7" w:rsidRPr="00AF5796" w:rsidRDefault="005D2DA7" w:rsidP="005D2DA7">
      <w:pPr>
        <w:rPr>
          <w:lang w:val="en-US"/>
        </w:rPr>
      </w:pPr>
      <w:r w:rsidRPr="00AF5796">
        <w:rPr>
          <w:lang w:val="en-US"/>
        </w:rPr>
        <w:t>These values are averages per month over all hours.</w:t>
      </w:r>
    </w:p>
    <w:p w:rsidR="005D2DA7" w:rsidRPr="00AF5796" w:rsidRDefault="005D2DA7" w:rsidP="00990873">
      <w:pPr>
        <w:rPr>
          <w:highlight w:val="yellow"/>
          <w:lang w:val="en-US"/>
        </w:rPr>
      </w:pPr>
      <w:r w:rsidRPr="00AF5796">
        <w:rPr>
          <w:lang w:val="en-US"/>
        </w:rPr>
        <w:t>Data for China</w:t>
      </w:r>
      <w:r w:rsidRPr="00AF5796">
        <w:rPr>
          <w:position w:val="6"/>
          <w:sz w:val="18"/>
          <w:lang w:val="en-US"/>
        </w:rPr>
        <w:footnoteReference w:id="31"/>
      </w:r>
      <w:r w:rsidRPr="00AF5796">
        <w:rPr>
          <w:color w:val="000000"/>
          <w:lang w:val="en-US"/>
        </w:rPr>
        <w:t xml:space="preserve"> </w:t>
      </w:r>
      <w:r w:rsidRPr="00AF5796">
        <w:rPr>
          <w:color w:val="000000"/>
          <w:sz w:val="22"/>
          <w:szCs w:val="22"/>
          <w:lang w:val="en-US"/>
        </w:rPr>
        <w:t>s</w:t>
      </w:r>
      <w:r w:rsidRPr="00AF5796">
        <w:rPr>
          <w:lang w:val="en-US"/>
        </w:rPr>
        <w:t>hows traffic asymmetry ratios of between 1/4 and 1/6 in favour of DL. It should be pointed out that the uplink-downlink traffic asymmetry ratio given in Table</w:t>
      </w:r>
      <w:r w:rsidR="00990873" w:rsidRPr="00AF5796">
        <w:rPr>
          <w:lang w:val="en-US"/>
        </w:rPr>
        <w:t> </w:t>
      </w:r>
      <w:r w:rsidRPr="00AF5796">
        <w:rPr>
          <w:lang w:val="en-US"/>
        </w:rPr>
        <w:t>12 is data only, voice traffic is not included. This range is similar for particular operators in different countries (USA, Japan and Europe) in 2010</w:t>
      </w:r>
      <w:r w:rsidRPr="00AF5796">
        <w:rPr>
          <w:lang w:val="en-US"/>
        </w:rPr>
        <w:fldChar w:fldCharType="begin"/>
      </w:r>
      <w:r w:rsidRPr="00AF5796">
        <w:rPr>
          <w:lang w:val="en-US"/>
        </w:rPr>
        <w:instrText xml:space="preserve"> NOTEREF _Ref422140209 \h  \* MERGEFORMAT </w:instrText>
      </w:r>
      <w:r w:rsidRPr="00AF5796">
        <w:rPr>
          <w:lang w:val="en-US"/>
        </w:rPr>
      </w:r>
      <w:r w:rsidRPr="00AF5796">
        <w:rPr>
          <w:lang w:val="en-US"/>
        </w:rPr>
        <w:fldChar w:fldCharType="separate"/>
      </w:r>
      <w:r w:rsidR="003547D8" w:rsidRPr="003547D8">
        <w:rPr>
          <w:vertAlign w:val="superscript"/>
          <w:lang w:val="en-US"/>
        </w:rPr>
        <w:t>24</w:t>
      </w:r>
      <w:r w:rsidRPr="00AF5796">
        <w:rPr>
          <w:lang w:val="en-US"/>
        </w:rPr>
        <w:fldChar w:fldCharType="end"/>
      </w:r>
      <w:r w:rsidRPr="00AF5796">
        <w:rPr>
          <w:lang w:val="en-US"/>
        </w:rPr>
        <w:t>.</w:t>
      </w:r>
    </w:p>
    <w:p w:rsidR="005D2DA7" w:rsidRPr="00AF5796" w:rsidRDefault="005D2DA7" w:rsidP="00567C49">
      <w:pPr>
        <w:spacing w:after="240"/>
        <w:rPr>
          <w:lang w:val="en-US"/>
        </w:rPr>
      </w:pPr>
      <w:r w:rsidRPr="00AF5796">
        <w:rPr>
          <w:lang w:val="en-US"/>
        </w:rPr>
        <w:t>An additional example comes from a study provided by one European Operator</w:t>
      </w:r>
      <w:r w:rsidRPr="00AF5796">
        <w:rPr>
          <w:rStyle w:val="FootnoteReference"/>
          <w:lang w:val="en-US"/>
        </w:rPr>
        <w:footnoteReference w:id="32"/>
      </w:r>
      <w:r w:rsidRPr="00AF5796">
        <w:rPr>
          <w:lang w:val="en-US"/>
        </w:rPr>
        <w:t xml:space="preserve"> as depicted in </w:t>
      </w:r>
      <w:r w:rsidR="00207607" w:rsidRPr="00AF5796">
        <w:rPr>
          <w:lang w:val="en-US"/>
        </w:rPr>
        <w:t>Fig.</w:t>
      </w:r>
      <w:r w:rsidR="00B7647F" w:rsidRPr="00AF5796">
        <w:rPr>
          <w:lang w:val="en-US"/>
        </w:rPr>
        <w:t> </w:t>
      </w:r>
      <w:r w:rsidRPr="00AF5796">
        <w:rPr>
          <w:lang w:val="en-US"/>
        </w:rPr>
        <w:t xml:space="preserve">15. The </w:t>
      </w:r>
      <w:r w:rsidR="00567C49">
        <w:rPr>
          <w:lang w:val="en-US"/>
        </w:rPr>
        <w:t>F</w:t>
      </w:r>
      <w:r w:rsidRPr="00AF5796">
        <w:rPr>
          <w:lang w:val="en-US"/>
        </w:rPr>
        <w:t xml:space="preserve">igure shows specifically how the ratio between uplink and downlink in a LTE network has </w:t>
      </w:r>
      <w:r w:rsidRPr="00AF5796">
        <w:rPr>
          <w:lang w:val="en-US" w:eastAsia="zh-CN"/>
        </w:rPr>
        <w:t>evolved in</w:t>
      </w:r>
      <w:r w:rsidRPr="00AF5796">
        <w:rPr>
          <w:lang w:val="en-US"/>
        </w:rPr>
        <w:t xml:space="preserve"> recent years. It is important to note that in only two years (from 2012 to 2014), the difference between the uplink and downlink traffic has increased from 1/2 to 1/10. As in Table</w:t>
      </w:r>
      <w:r w:rsidR="00E319E7" w:rsidRPr="00AF5796">
        <w:rPr>
          <w:lang w:val="en-US"/>
        </w:rPr>
        <w:t> </w:t>
      </w:r>
      <w:r w:rsidRPr="00AF5796">
        <w:rPr>
          <w:lang w:val="en-US"/>
        </w:rPr>
        <w:t>12, here again only data traffic</w:t>
      </w:r>
      <w:r w:rsidRPr="00AF5796">
        <w:rPr>
          <w:lang w:val="en-US" w:eastAsia="zh-CN"/>
        </w:rPr>
        <w:t xml:space="preserve"> is considered</w:t>
      </w:r>
      <w:r w:rsidRPr="00AF5796">
        <w:rPr>
          <w:lang w:val="en-US"/>
        </w:rPr>
        <w:t>, voice traffic is not included, except for VoIP in applications such as Viber, Skype</w:t>
      </w:r>
      <w:r w:rsidR="001B512B">
        <w:rPr>
          <w:lang w:val="en-US"/>
        </w:rPr>
        <w:t>,</w:t>
      </w:r>
      <w:r w:rsidRPr="00AF5796">
        <w:rPr>
          <w:lang w:val="en-US"/>
        </w:rPr>
        <w:t xml:space="preserve"> etc. This operator claims that for other markets, the development of traffic is similar, but the timing (year/week) can differ slightly.</w:t>
      </w:r>
    </w:p>
    <w:p w:rsidR="005D2DA7" w:rsidRPr="00AF5796" w:rsidRDefault="005D2DA7" w:rsidP="005D2DA7">
      <w:pPr>
        <w:pStyle w:val="FigureNo"/>
        <w:rPr>
          <w:rFonts w:ascii="Calibri" w:eastAsia="Calibri" w:hAnsi="Calibri"/>
          <w:sz w:val="22"/>
          <w:lang w:val="en-US"/>
        </w:rPr>
      </w:pPr>
      <w:r w:rsidRPr="00AF5796">
        <w:rPr>
          <w:rFonts w:eastAsia="Calibri"/>
          <w:lang w:val="en-US"/>
        </w:rPr>
        <w:lastRenderedPageBreak/>
        <w:t>Figure 15</w:t>
      </w:r>
    </w:p>
    <w:p w:rsidR="005D2DA7" w:rsidRPr="00AF5796" w:rsidRDefault="005D2DA7" w:rsidP="00E319E7">
      <w:pPr>
        <w:pStyle w:val="Figuretitle"/>
        <w:rPr>
          <w:lang w:val="en-US"/>
        </w:rPr>
      </w:pPr>
      <w:r w:rsidRPr="00AF5796">
        <w:rPr>
          <w:lang w:val="en-US"/>
        </w:rPr>
        <w:t>Examples: Asymmetry in the mobile network in Sweden from 2012 to 2014 (week 37)</w:t>
      </w:r>
    </w:p>
    <w:p w:rsidR="005D2DA7" w:rsidRPr="00AF5796" w:rsidRDefault="005D2DA7" w:rsidP="00E319E7">
      <w:pPr>
        <w:pStyle w:val="Figure"/>
        <w:rPr>
          <w:lang w:val="en-US" w:eastAsia="zh-CN"/>
        </w:rPr>
      </w:pPr>
      <w:r w:rsidRPr="00AF5796">
        <w:rPr>
          <w:noProof/>
          <w:color w:val="1F497D"/>
          <w:lang w:val="en-US" w:eastAsia="zh-CN"/>
        </w:rPr>
        <w:drawing>
          <wp:inline distT="0" distB="0" distL="0" distR="0" wp14:anchorId="324D2B6A" wp14:editId="558744B8">
            <wp:extent cx="6123484" cy="41243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6124575" cy="4125060"/>
                    </a:xfrm>
                    <a:prstGeom prst="rect">
                      <a:avLst/>
                    </a:prstGeom>
                    <a:noFill/>
                    <a:ln w="9525">
                      <a:noFill/>
                      <a:miter lim="800000"/>
                      <a:headEnd/>
                      <a:tailEnd/>
                    </a:ln>
                  </pic:spPr>
                </pic:pic>
              </a:graphicData>
            </a:graphic>
          </wp:inline>
        </w:drawing>
      </w:r>
    </w:p>
    <w:p w:rsidR="005D2DA7" w:rsidRPr="00AF5796" w:rsidRDefault="005D2DA7" w:rsidP="005D2DA7">
      <w:pPr>
        <w:rPr>
          <w:lang w:val="en-US"/>
        </w:rPr>
      </w:pPr>
      <w:r w:rsidRPr="00AF5796">
        <w:rPr>
          <w:lang w:val="en-US"/>
        </w:rPr>
        <w:t xml:space="preserve">In summary, the ratios provided by different sources are more or less similar. </w:t>
      </w:r>
    </w:p>
    <w:p w:rsidR="005D2DA7" w:rsidRPr="00AF5796" w:rsidRDefault="005D2DA7" w:rsidP="00E03534">
      <w:pPr>
        <w:pStyle w:val="Heading2"/>
        <w:rPr>
          <w:lang w:val="en-US"/>
        </w:rPr>
      </w:pPr>
      <w:bookmarkStart w:id="47" w:name="_Toc427932308"/>
      <w:bookmarkStart w:id="48" w:name="_Toc427935117"/>
      <w:r w:rsidRPr="00AF5796">
        <w:rPr>
          <w:lang w:val="en-US"/>
        </w:rPr>
        <w:t>6.4</w:t>
      </w:r>
      <w:r w:rsidRPr="00AF5796">
        <w:rPr>
          <w:lang w:val="en-US"/>
        </w:rPr>
        <w:tab/>
        <w:t>Traffic asymmetry estimation to 2024</w:t>
      </w:r>
      <w:bookmarkEnd w:id="47"/>
      <w:bookmarkEnd w:id="48"/>
    </w:p>
    <w:p w:rsidR="005D2DA7" w:rsidRPr="00AF5796" w:rsidRDefault="005D2DA7" w:rsidP="00567C49">
      <w:pPr>
        <w:rPr>
          <w:lang w:val="en-US"/>
        </w:rPr>
      </w:pPr>
      <w:r w:rsidRPr="00AF5796">
        <w:rPr>
          <w:lang w:val="en-US"/>
        </w:rPr>
        <w:t xml:space="preserve">The following </w:t>
      </w:r>
      <w:r w:rsidR="00567C49">
        <w:rPr>
          <w:lang w:val="en-US"/>
        </w:rPr>
        <w:t>F</w:t>
      </w:r>
      <w:r w:rsidRPr="00AF5796">
        <w:rPr>
          <w:lang w:val="en-US"/>
        </w:rPr>
        <w:t>igures depict this trend for the period to 2024 and confirm that the traffic asymmetry value is in the range of 1/7-8 in favour of DL</w:t>
      </w:r>
      <w:r w:rsidRPr="00AF5796">
        <w:rPr>
          <w:position w:val="6"/>
          <w:sz w:val="18"/>
          <w:lang w:val="en-US"/>
        </w:rPr>
        <w:footnoteReference w:id="33"/>
      </w:r>
      <w:r w:rsidR="00DE5E1D">
        <w:rPr>
          <w:lang w:val="en-US"/>
        </w:rPr>
        <w:t>.</w:t>
      </w:r>
    </w:p>
    <w:p w:rsidR="005D2DA7" w:rsidRPr="00AF5796" w:rsidRDefault="005D2DA7" w:rsidP="005D2DA7">
      <w:pPr>
        <w:rPr>
          <w:lang w:val="en-US"/>
        </w:rPr>
      </w:pPr>
      <w:r w:rsidRPr="00AF5796">
        <w:rPr>
          <w:lang w:val="en-US"/>
        </w:rPr>
        <w:t>The results are based on a long term network growth model which uses the assumption that devices and user behavior may be modeled as a set of three profiles (“simple”, “smart” and “large”)</w:t>
      </w:r>
      <w:r w:rsidRPr="00AF5796">
        <w:rPr>
          <w:rStyle w:val="FootnoteReference"/>
          <w:lang w:val="en-US"/>
        </w:rPr>
        <w:footnoteReference w:id="34"/>
      </w:r>
      <w:r w:rsidRPr="00AF5796">
        <w:rPr>
          <w:lang w:val="en-US"/>
        </w:rPr>
        <w:t xml:space="preserve"> and that the evolution in device type mix and migration between successive generations is driven by a combination of statistical information and a given country’s macro-economic data. The results are provided here for information and should not be considered to be indicative of any particular operator. </w:t>
      </w:r>
    </w:p>
    <w:p w:rsidR="005D2DA7" w:rsidRPr="00AF5796" w:rsidRDefault="005D2DA7" w:rsidP="0029004C">
      <w:pPr>
        <w:rPr>
          <w:lang w:val="en-US"/>
        </w:rPr>
      </w:pPr>
      <w:r w:rsidRPr="00AF5796">
        <w:rPr>
          <w:lang w:val="en-US"/>
        </w:rPr>
        <w:t xml:space="preserve">Figure 16 shows the expected migration of the subscription base and the corresponding change in device-type mix, reflecting the tendency for high-end device owners to migrate more rapidly to next </w:t>
      </w:r>
      <w:r w:rsidR="00207607" w:rsidRPr="00AF5796">
        <w:rPr>
          <w:lang w:val="en-US"/>
        </w:rPr>
        <w:lastRenderedPageBreak/>
        <w:t>generation systems, Figs</w:t>
      </w:r>
      <w:r w:rsidRPr="00AF5796">
        <w:rPr>
          <w:lang w:val="en-US"/>
        </w:rPr>
        <w:t xml:space="preserve"> 17A and 17B show the corresponding estimate for per user traffic in down and up link directions; and, finally, </w:t>
      </w:r>
      <w:r w:rsidR="00934A49" w:rsidRPr="00AF5796">
        <w:rPr>
          <w:lang w:val="en-US"/>
        </w:rPr>
        <w:t xml:space="preserve">Fig. </w:t>
      </w:r>
      <w:r w:rsidRPr="00AF5796">
        <w:rPr>
          <w:lang w:val="en-US"/>
        </w:rPr>
        <w:t>18 shows the corresponding estimate for UL/DL traffic asymmetry ratio.</w:t>
      </w:r>
    </w:p>
    <w:p w:rsidR="005D2DA7" w:rsidRPr="00AF5796" w:rsidRDefault="005D2DA7" w:rsidP="00DE5E1D">
      <w:pPr>
        <w:rPr>
          <w:lang w:val="en-US"/>
        </w:rPr>
      </w:pPr>
      <w:r w:rsidRPr="00AF5796">
        <w:rPr>
          <w:lang w:val="en-US"/>
        </w:rPr>
        <w:t xml:space="preserve">It has to be noted that </w:t>
      </w:r>
      <w:r w:rsidR="00934A49" w:rsidRPr="00AF5796">
        <w:rPr>
          <w:lang w:val="en-US"/>
        </w:rPr>
        <w:t xml:space="preserve">Fig. </w:t>
      </w:r>
      <w:r w:rsidRPr="00AF5796">
        <w:rPr>
          <w:lang w:val="en-US"/>
        </w:rPr>
        <w:t>16 gives the distribution of the subscriber per device type and generation with respect to the year, which is combined with a corresponding set of traffic models to derive the overall uplink an</w:t>
      </w:r>
      <w:r w:rsidR="00207607" w:rsidRPr="00AF5796">
        <w:rPr>
          <w:lang w:val="en-US"/>
        </w:rPr>
        <w:t>d downlink as depicted in Fig</w:t>
      </w:r>
      <w:r w:rsidRPr="00AF5796">
        <w:rPr>
          <w:lang w:val="en-US"/>
        </w:rPr>
        <w:t>s</w:t>
      </w:r>
      <w:r w:rsidR="0029004C" w:rsidRPr="00AF5796">
        <w:rPr>
          <w:lang w:val="en-US"/>
        </w:rPr>
        <w:t xml:space="preserve"> </w:t>
      </w:r>
      <w:r w:rsidRPr="00AF5796">
        <w:rPr>
          <w:lang w:val="en-US"/>
        </w:rPr>
        <w:t>17B and 18. It should also be noticed that traffic curves stopping in 2016 for GSM correspond to specific modelling data for the example operator.</w:t>
      </w:r>
    </w:p>
    <w:p w:rsidR="005D2DA7" w:rsidRPr="00AF5796" w:rsidRDefault="005D2DA7" w:rsidP="00194816">
      <w:pPr>
        <w:pStyle w:val="FigureNo"/>
        <w:rPr>
          <w:lang w:val="en-US"/>
        </w:rPr>
      </w:pPr>
      <w:r w:rsidRPr="00AF5796">
        <w:rPr>
          <w:lang w:val="en-US"/>
        </w:rPr>
        <w:t xml:space="preserve">Figure 16 </w:t>
      </w:r>
    </w:p>
    <w:p w:rsidR="005D2DA7" w:rsidRPr="00AF5796" w:rsidRDefault="005D2DA7" w:rsidP="00E319E7">
      <w:pPr>
        <w:pStyle w:val="Figuretitle"/>
        <w:rPr>
          <w:lang w:val="en-US"/>
        </w:rPr>
      </w:pPr>
      <w:r w:rsidRPr="00AF5796">
        <w:rPr>
          <w:lang w:val="en-US"/>
        </w:rPr>
        <w:t>Example operator subscriptions migration and corresponding device type mix</w:t>
      </w:r>
    </w:p>
    <w:p w:rsidR="005D2DA7" w:rsidRPr="00AF5796" w:rsidRDefault="005D2DA7" w:rsidP="00E03534">
      <w:pPr>
        <w:pStyle w:val="Figure"/>
        <w:rPr>
          <w:lang w:val="en-US"/>
        </w:rPr>
      </w:pPr>
      <w:r w:rsidRPr="00AF5796">
        <w:rPr>
          <w:noProof/>
          <w:lang w:val="en-US" w:eastAsia="zh-CN"/>
        </w:rPr>
        <w:drawing>
          <wp:inline distT="0" distB="0" distL="0" distR="0" wp14:anchorId="41641E0F" wp14:editId="38E20FC6">
            <wp:extent cx="6124575" cy="351472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120765" cy="3512539"/>
                    </a:xfrm>
                    <a:prstGeom prst="rect">
                      <a:avLst/>
                    </a:prstGeom>
                    <a:noFill/>
                  </pic:spPr>
                </pic:pic>
              </a:graphicData>
            </a:graphic>
          </wp:inline>
        </w:drawing>
      </w:r>
    </w:p>
    <w:p w:rsidR="005D2DA7" w:rsidRPr="00AF5796" w:rsidRDefault="005D2DA7" w:rsidP="00510269">
      <w:pPr>
        <w:pStyle w:val="FigureNo"/>
        <w:rPr>
          <w:lang w:val="en-US"/>
        </w:rPr>
      </w:pPr>
      <w:r w:rsidRPr="00AF5796">
        <w:rPr>
          <w:lang w:val="en-US"/>
        </w:rPr>
        <w:lastRenderedPageBreak/>
        <w:t>Figure 17A</w:t>
      </w:r>
    </w:p>
    <w:p w:rsidR="005D2DA7" w:rsidRPr="00AF5796" w:rsidRDefault="005D2DA7" w:rsidP="00F62F90">
      <w:pPr>
        <w:pStyle w:val="Figuretitle"/>
        <w:rPr>
          <w:lang w:val="en-US"/>
        </w:rPr>
      </w:pPr>
      <w:r w:rsidRPr="00AF5796">
        <w:rPr>
          <w:lang w:val="en-US"/>
        </w:rPr>
        <w:t>Example operator per user average busy hour downlink traffic (bit-rate in kb/s)</w:t>
      </w:r>
    </w:p>
    <w:p w:rsidR="005D2DA7" w:rsidRPr="00AF5796" w:rsidRDefault="005D2DA7" w:rsidP="00E03534">
      <w:pPr>
        <w:pStyle w:val="Figure"/>
        <w:rPr>
          <w:lang w:val="en-US"/>
        </w:rPr>
      </w:pPr>
      <w:r w:rsidRPr="00AF5796">
        <w:rPr>
          <w:noProof/>
          <w:lang w:val="en-US" w:eastAsia="zh-CN"/>
        </w:rPr>
        <w:drawing>
          <wp:inline distT="0" distB="0" distL="0" distR="0" wp14:anchorId="5383EF1A" wp14:editId="07789FED">
            <wp:extent cx="5445153" cy="3381375"/>
            <wp:effectExtent l="19050" t="0" r="314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461954" cy="3391808"/>
                    </a:xfrm>
                    <a:prstGeom prst="rect">
                      <a:avLst/>
                    </a:prstGeom>
                    <a:noFill/>
                  </pic:spPr>
                </pic:pic>
              </a:graphicData>
            </a:graphic>
          </wp:inline>
        </w:drawing>
      </w:r>
    </w:p>
    <w:p w:rsidR="005D2DA7" w:rsidRPr="00AF5796" w:rsidRDefault="005D2DA7" w:rsidP="00510269">
      <w:pPr>
        <w:pStyle w:val="FigureNo"/>
        <w:rPr>
          <w:lang w:val="en-US"/>
        </w:rPr>
      </w:pPr>
      <w:r w:rsidRPr="00AF5796">
        <w:rPr>
          <w:lang w:val="en-US"/>
        </w:rPr>
        <w:t>Figure 17B</w:t>
      </w:r>
    </w:p>
    <w:p w:rsidR="005D2DA7" w:rsidRPr="00AF5796" w:rsidRDefault="005D2DA7" w:rsidP="00510269">
      <w:pPr>
        <w:pStyle w:val="Figuretitle"/>
        <w:rPr>
          <w:noProof/>
          <w:lang w:val="en-US"/>
        </w:rPr>
      </w:pPr>
      <w:r w:rsidRPr="00AF5796">
        <w:rPr>
          <w:lang w:val="en-US"/>
        </w:rPr>
        <w:t>Example operator per user average busy hour uplink traffic (bit-rate in kb/s)</w:t>
      </w:r>
      <w:r w:rsidRPr="00AF5796">
        <w:rPr>
          <w:noProof/>
          <w:lang w:val="en-US"/>
        </w:rPr>
        <w:t xml:space="preserve"> </w:t>
      </w:r>
    </w:p>
    <w:p w:rsidR="005D2DA7" w:rsidRPr="00AF5796" w:rsidRDefault="005D2DA7" w:rsidP="00E03534">
      <w:pPr>
        <w:pStyle w:val="Figure"/>
        <w:rPr>
          <w:lang w:val="en-US"/>
        </w:rPr>
      </w:pPr>
      <w:r w:rsidRPr="00AF5796">
        <w:rPr>
          <w:noProof/>
          <w:lang w:val="en-US" w:eastAsia="zh-CN"/>
        </w:rPr>
        <w:drawing>
          <wp:inline distT="0" distB="0" distL="0" distR="0" wp14:anchorId="399BF4A8" wp14:editId="2F05954B">
            <wp:extent cx="5477375" cy="3324225"/>
            <wp:effectExtent l="19050" t="0" r="902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480511" cy="3326128"/>
                    </a:xfrm>
                    <a:prstGeom prst="rect">
                      <a:avLst/>
                    </a:prstGeom>
                    <a:noFill/>
                  </pic:spPr>
                </pic:pic>
              </a:graphicData>
            </a:graphic>
          </wp:inline>
        </w:drawing>
      </w:r>
    </w:p>
    <w:p w:rsidR="005D2DA7" w:rsidRPr="00AF5796" w:rsidRDefault="005D2DA7" w:rsidP="000F48ED">
      <w:pPr>
        <w:pStyle w:val="FigureNo"/>
        <w:rPr>
          <w:lang w:val="en-US"/>
        </w:rPr>
      </w:pPr>
      <w:r w:rsidRPr="00AF5796">
        <w:rPr>
          <w:lang w:val="en-US"/>
        </w:rPr>
        <w:lastRenderedPageBreak/>
        <w:t>Figure 18</w:t>
      </w:r>
    </w:p>
    <w:p w:rsidR="005D2DA7" w:rsidRPr="00AF5796" w:rsidRDefault="005D2DA7" w:rsidP="000F48ED">
      <w:pPr>
        <w:pStyle w:val="Figuretitle"/>
        <w:rPr>
          <w:lang w:val="en-US"/>
        </w:rPr>
      </w:pPr>
      <w:r w:rsidRPr="00AF5796">
        <w:rPr>
          <w:lang w:val="en-US"/>
        </w:rPr>
        <w:t>Example operator average traffic asymmetry</w:t>
      </w:r>
    </w:p>
    <w:p w:rsidR="005D2DA7" w:rsidRPr="00AF5796" w:rsidRDefault="005D2DA7" w:rsidP="000F48ED">
      <w:pPr>
        <w:pStyle w:val="Figure"/>
        <w:rPr>
          <w:lang w:val="en-US"/>
        </w:rPr>
      </w:pPr>
      <w:r w:rsidRPr="00AF5796">
        <w:rPr>
          <w:noProof/>
          <w:lang w:val="en-US" w:eastAsia="zh-CN"/>
        </w:rPr>
        <w:drawing>
          <wp:inline distT="0" distB="0" distL="0" distR="0" wp14:anchorId="043D23EF" wp14:editId="38983874">
            <wp:extent cx="5527561" cy="3371850"/>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527344" cy="3371718"/>
                    </a:xfrm>
                    <a:prstGeom prst="rect">
                      <a:avLst/>
                    </a:prstGeom>
                    <a:noFill/>
                  </pic:spPr>
                </pic:pic>
              </a:graphicData>
            </a:graphic>
          </wp:inline>
        </w:drawing>
      </w:r>
    </w:p>
    <w:p w:rsidR="005D2DA7" w:rsidRPr="00AF5796" w:rsidRDefault="005D2DA7" w:rsidP="000448C4">
      <w:pPr>
        <w:pStyle w:val="Heading2"/>
        <w:rPr>
          <w:lang w:val="en-US"/>
        </w:rPr>
      </w:pPr>
      <w:bookmarkStart w:id="49" w:name="_Toc427932309"/>
      <w:bookmarkStart w:id="50" w:name="_Toc427935118"/>
      <w:r w:rsidRPr="00AF5796">
        <w:rPr>
          <w:rFonts w:eastAsia="SimSun"/>
          <w:lang w:val="en-US" w:eastAsia="zh-CN"/>
        </w:rPr>
        <w:t>6.5</w:t>
      </w:r>
      <w:r w:rsidRPr="00AF5796">
        <w:rPr>
          <w:rFonts w:eastAsia="SimSun"/>
          <w:lang w:val="en-US" w:eastAsia="zh-CN"/>
        </w:rPr>
        <w:tab/>
      </w:r>
      <w:r w:rsidRPr="00AF5796">
        <w:rPr>
          <w:lang w:val="en-US"/>
        </w:rPr>
        <w:t>Traffic asymmetry analysis</w:t>
      </w:r>
      <w:r w:rsidRPr="00AF5796">
        <w:rPr>
          <w:rFonts w:eastAsia="SimSun"/>
          <w:lang w:val="en-US" w:eastAsia="zh-CN"/>
        </w:rPr>
        <w:t xml:space="preserve"> </w:t>
      </w:r>
      <w:r w:rsidRPr="00AF5796">
        <w:rPr>
          <w:lang w:val="en-US"/>
        </w:rPr>
        <w:t>in the space and time domains</w:t>
      </w:r>
      <w:bookmarkEnd w:id="49"/>
      <w:bookmarkEnd w:id="50"/>
    </w:p>
    <w:p w:rsidR="005D2DA7" w:rsidRPr="00AF5796" w:rsidRDefault="005D2DA7" w:rsidP="005D2DA7">
      <w:pPr>
        <w:rPr>
          <w:rFonts w:eastAsia="SimSun"/>
          <w:lang w:val="en-US" w:eastAsia="zh-CN"/>
        </w:rPr>
      </w:pPr>
      <w:r w:rsidRPr="00AF5796">
        <w:rPr>
          <w:lang w:val="en-US" w:eastAsia="zh-CN"/>
        </w:rPr>
        <w:t xml:space="preserve">The </w:t>
      </w:r>
      <w:r w:rsidRPr="00AF5796">
        <w:rPr>
          <w:rFonts w:eastAsia="SimSun"/>
          <w:lang w:val="en-US" w:eastAsia="zh-CN"/>
        </w:rPr>
        <w:t>behaviour of traffic asymmetry in the space and time domains needs to be well understood as well, which refers to the distribution of traffic asymmetry in the space and time domains. It has two aspects:</w:t>
      </w:r>
    </w:p>
    <w:p w:rsidR="005D2DA7" w:rsidRPr="00AF5796" w:rsidRDefault="005D2DA7" w:rsidP="005D2DA7">
      <w:pPr>
        <w:pStyle w:val="enumlev1"/>
        <w:rPr>
          <w:rFonts w:eastAsia="SimSun"/>
          <w:lang w:val="en-US" w:eastAsia="zh-CN"/>
        </w:rPr>
      </w:pPr>
      <w:r w:rsidRPr="00AF5796">
        <w:rPr>
          <w:rFonts w:eastAsia="SimSun"/>
          <w:lang w:val="en-US" w:eastAsia="zh-CN"/>
        </w:rPr>
        <w:t>−</w:t>
      </w:r>
      <w:r w:rsidRPr="00AF5796">
        <w:rPr>
          <w:rFonts w:eastAsia="SimSun"/>
          <w:lang w:val="en-US" w:eastAsia="zh-CN"/>
        </w:rPr>
        <w:tab/>
        <w:t>The traffic asymmetry distribution in the space domain refers to the traffic asymmetry ratio at different geographical regions.</w:t>
      </w:r>
    </w:p>
    <w:p w:rsidR="005D2DA7" w:rsidRPr="00AF5796" w:rsidRDefault="005D2DA7" w:rsidP="005D2DA7">
      <w:pPr>
        <w:pStyle w:val="enumlev1"/>
        <w:rPr>
          <w:rFonts w:eastAsia="SimSun"/>
          <w:lang w:val="en-US" w:eastAsia="zh-CN"/>
        </w:rPr>
      </w:pPr>
      <w:r w:rsidRPr="00AF5796">
        <w:rPr>
          <w:rFonts w:eastAsia="SimSun"/>
          <w:lang w:val="en-US" w:eastAsia="zh-CN"/>
        </w:rPr>
        <w:t>−</w:t>
      </w:r>
      <w:r w:rsidRPr="00AF5796">
        <w:rPr>
          <w:rFonts w:eastAsia="SimSun"/>
          <w:lang w:val="en-US" w:eastAsia="zh-CN"/>
        </w:rPr>
        <w:tab/>
        <w:t>The traffic asymmetry distribution in the time-domain refers to the traffic asymmetry ratio at a specific region in different time instances.</w:t>
      </w:r>
    </w:p>
    <w:p w:rsidR="005D2DA7" w:rsidRPr="00AF5796" w:rsidRDefault="005D2DA7" w:rsidP="005D2DA7">
      <w:pPr>
        <w:rPr>
          <w:rFonts w:eastAsia="SimSun"/>
          <w:lang w:val="en-US" w:eastAsia="zh-CN"/>
        </w:rPr>
      </w:pPr>
      <w:r w:rsidRPr="00AF5796">
        <w:rPr>
          <w:rFonts w:eastAsia="SimSun"/>
          <w:lang w:val="en-US" w:eastAsia="zh-CN"/>
        </w:rPr>
        <w:t xml:space="preserve">Since the traffic asymmetry would be highly dependent on the specific application employed by a subscriber as shown in </w:t>
      </w:r>
      <w:r w:rsidR="00207607" w:rsidRPr="00AF5796">
        <w:rPr>
          <w:rFonts w:eastAsia="SimSun"/>
          <w:lang w:val="en-US" w:eastAsia="zh-CN"/>
        </w:rPr>
        <w:t>Fig.</w:t>
      </w:r>
      <w:r w:rsidRPr="00AF5796">
        <w:rPr>
          <w:rFonts w:eastAsia="SimSun"/>
          <w:lang w:val="en-US" w:eastAsia="zh-CN"/>
        </w:rPr>
        <w:t xml:space="preserve"> 14, it is foreseen that the space and time domain behaviour of traffic asymmetry would be impacted by the subscriber behaviour significantly, whereas the </w:t>
      </w:r>
      <w:r w:rsidRPr="00AF5796">
        <w:rPr>
          <w:lang w:val="en-US" w:eastAsia="zh-CN"/>
        </w:rPr>
        <w:t>subscriber behaviour includ</w:t>
      </w:r>
      <w:r w:rsidRPr="00AF5796">
        <w:rPr>
          <w:rFonts w:eastAsia="SimSun"/>
          <w:lang w:val="en-US" w:eastAsia="zh-CN"/>
        </w:rPr>
        <w:t>es</w:t>
      </w:r>
      <w:r w:rsidRPr="00AF5796">
        <w:rPr>
          <w:lang w:val="en-US" w:eastAsia="zh-CN"/>
        </w:rPr>
        <w:t xml:space="preserve"> the geographical distribution of the subscribers, subscriber’s mobility behaviour and application usage behaviour, etc. </w:t>
      </w:r>
    </w:p>
    <w:p w:rsidR="005D2DA7" w:rsidRPr="00AF5796" w:rsidRDefault="005D2DA7" w:rsidP="005D2DA7">
      <w:pPr>
        <w:rPr>
          <w:rFonts w:eastAsia="SimSun"/>
          <w:lang w:val="en-US" w:eastAsia="zh-CN"/>
        </w:rPr>
      </w:pPr>
      <w:r w:rsidRPr="00AF5796">
        <w:rPr>
          <w:rFonts w:eastAsia="SimSun"/>
          <w:lang w:val="en-US" w:eastAsia="zh-CN"/>
        </w:rPr>
        <w:t>It is noted that the total traffic asymmetry ratio in a specific region is defined by the ratio of the summation of each subscriber’s DL traffic relative to the summation of their UL traffic in that region. Therefore the traffic asymmetry in different geographical region</w:t>
      </w:r>
      <w:r w:rsidR="001D663A" w:rsidRPr="00AF5796">
        <w:rPr>
          <w:rFonts w:eastAsia="SimSun"/>
          <w:lang w:val="en-US" w:eastAsia="zh-CN"/>
        </w:rPr>
        <w:t>s</w:t>
      </w:r>
      <w:r w:rsidRPr="00AF5796">
        <w:rPr>
          <w:rFonts w:eastAsia="SimSun"/>
          <w:lang w:val="en-US" w:eastAsia="zh-CN"/>
        </w:rPr>
        <w:t xml:space="preserve"> is related to the subscriber geographical distribution (namely the subscriber density in the specific region) and the subscriber’s application behaviour which defines the traffic asymmetry of each subscriber. In current networks, subscribers are distributed unevenly in the network coverage. It implies that in any given region, the subscriber density would be different. On the other hand, different subscribers would have different application usage behaviours, which indicates that at one time instance;</w:t>
      </w:r>
      <w:r w:rsidR="001D663A" w:rsidRPr="00AF5796">
        <w:rPr>
          <w:rFonts w:eastAsia="SimSun"/>
          <w:lang w:val="en-US" w:eastAsia="zh-CN"/>
        </w:rPr>
        <w:t xml:space="preserve"> different subscribe</w:t>
      </w:r>
      <w:r w:rsidRPr="00AF5796">
        <w:rPr>
          <w:rFonts w:eastAsia="SimSun"/>
          <w:lang w:val="en-US" w:eastAsia="zh-CN"/>
        </w:rPr>
        <w:t xml:space="preserve"> will invoke different applications, implying different traffic asymmetry for each subscriber. By observing these two aspects of subscriber behaviour, it is foreseen that the total traffic asymmetry ratio in different regions would be different, which suggests non-uniform distributed traffic asymmetry in the space domain.</w:t>
      </w:r>
    </w:p>
    <w:p w:rsidR="005D2DA7" w:rsidRPr="00AF5796" w:rsidRDefault="005D2DA7" w:rsidP="00DE5E1D">
      <w:pPr>
        <w:rPr>
          <w:rFonts w:eastAsia="SimSun"/>
          <w:lang w:val="en-US" w:eastAsia="zh-CN"/>
        </w:rPr>
      </w:pPr>
      <w:r w:rsidRPr="00AF5796">
        <w:rPr>
          <w:rFonts w:eastAsia="SimSun"/>
          <w:lang w:val="en-US" w:eastAsia="zh-CN"/>
        </w:rPr>
        <w:lastRenderedPageBreak/>
        <w:t xml:space="preserve">Further, </w:t>
      </w:r>
      <w:r w:rsidRPr="00AF5796">
        <w:rPr>
          <w:lang w:val="en-US" w:eastAsia="zh-CN"/>
        </w:rPr>
        <w:t xml:space="preserve">it is likely that the subscribers are in motion. </w:t>
      </w:r>
      <w:r w:rsidRPr="00AF5796">
        <w:rPr>
          <w:rFonts w:eastAsia="SimSun"/>
          <w:lang w:val="en-US" w:eastAsia="zh-CN"/>
        </w:rPr>
        <w:t>This implies that the subscriber geographical distribution is uneven at one time instance, and will change in another time instance. In this case the total traffic asymmetry ratio in a specific region would change at different time instances, leading to varying traffic asymmetry distribution in the time domain.</w:t>
      </w:r>
    </w:p>
    <w:p w:rsidR="005D2DA7" w:rsidRPr="00AF5796" w:rsidRDefault="005D2DA7" w:rsidP="005D2DA7">
      <w:pPr>
        <w:rPr>
          <w:rFonts w:eastAsia="SimSun"/>
          <w:lang w:val="en-US" w:eastAsia="zh-CN"/>
        </w:rPr>
      </w:pPr>
      <w:r w:rsidRPr="00AF5796">
        <w:rPr>
          <w:rFonts w:eastAsia="SimSun"/>
          <w:lang w:val="en-US" w:eastAsia="zh-CN"/>
        </w:rPr>
        <w:t xml:space="preserve">In the forecast, it is foreseen that new applications with more diverse traffic asymmetry would be the case. And the subscriber’s application usage behaviour will become more diverse due to the emergence of many more types of applications. As well, it would be increasingly likely that the subscribers use their applications on the move. By recognizing these factors, it is forecast that the traffic asymmetry distribution would be more uneven both in the space and time domain in the forecast period. </w:t>
      </w:r>
    </w:p>
    <w:p w:rsidR="005D2DA7" w:rsidRPr="00AF5796" w:rsidRDefault="005D2DA7" w:rsidP="005D2DA7">
      <w:pPr>
        <w:rPr>
          <w:szCs w:val="24"/>
          <w:lang w:val="en-US"/>
        </w:rPr>
      </w:pPr>
      <w:r w:rsidRPr="00AF5796">
        <w:rPr>
          <w:lang w:val="en-US" w:eastAsia="zh-CN"/>
        </w:rPr>
        <w:t>Some examples of subscribers’ traffic profiles are given in Annex 3.</w:t>
      </w:r>
    </w:p>
    <w:p w:rsidR="005D2DA7" w:rsidRPr="00AF5796" w:rsidRDefault="005D2DA7" w:rsidP="005D2DA7">
      <w:pPr>
        <w:pStyle w:val="Heading1"/>
        <w:spacing w:before="360"/>
        <w:rPr>
          <w:lang w:val="en-US"/>
        </w:rPr>
      </w:pPr>
      <w:bookmarkStart w:id="51" w:name="_Toc427932310"/>
      <w:bookmarkStart w:id="52" w:name="_Toc427935119"/>
      <w:r w:rsidRPr="00AF5796">
        <w:rPr>
          <w:lang w:val="en-US"/>
        </w:rPr>
        <w:t>7</w:t>
      </w:r>
      <w:r w:rsidRPr="00AF5796">
        <w:rPr>
          <w:lang w:val="en-US"/>
        </w:rPr>
        <w:tab/>
        <w:t>Conclusions</w:t>
      </w:r>
      <w:bookmarkEnd w:id="51"/>
      <w:bookmarkEnd w:id="52"/>
    </w:p>
    <w:p w:rsidR="005D2DA7" w:rsidRPr="00AF5796" w:rsidRDefault="005D2DA7" w:rsidP="005D2DA7">
      <w:pPr>
        <w:rPr>
          <w:lang w:val="en-US"/>
        </w:rPr>
      </w:pPr>
      <w:r w:rsidRPr="00AF5796">
        <w:rPr>
          <w:lang w:val="en-US" w:eastAsia="ja-JP"/>
        </w:rPr>
        <w:t xml:space="preserve">This Report investigates the trends in the growth of IMT traffic from 2020 to 2030. </w:t>
      </w:r>
      <w:r w:rsidRPr="00AF5796">
        <w:rPr>
          <w:lang w:val="en-US"/>
        </w:rPr>
        <w:t>It describes the many drivers influencing the growth of future IMT traffic such as the adoption of devices with enhanced capabilities that require increased bit-rates and bandwidth, increased video usage, device proliferation and application uptake. Similar drivers increased traffic in the transition from IMT</w:t>
      </w:r>
      <w:r w:rsidRPr="00AF5796">
        <w:rPr>
          <w:lang w:val="en-US"/>
        </w:rPr>
        <w:noBreakHyphen/>
        <w:t>2000 to IMT-Advanced.</w:t>
      </w:r>
    </w:p>
    <w:p w:rsidR="005D2DA7" w:rsidRPr="00AF5796" w:rsidRDefault="005D2DA7" w:rsidP="005D2DA7">
      <w:pPr>
        <w:rPr>
          <w:lang w:val="en-US"/>
        </w:rPr>
      </w:pPr>
      <w:r w:rsidRPr="00AF5796">
        <w:rPr>
          <w:lang w:val="en-US"/>
        </w:rPr>
        <w:t xml:space="preserve">These drivers are expected to evolve over time, and this evolution will differ between countries due to social and economic differences. These drivers and other trends which impact traffic growth are detailed in the </w:t>
      </w:r>
      <w:r w:rsidRPr="00AF5796">
        <w:rPr>
          <w:lang w:val="en-US" w:eastAsia="ja-JP"/>
        </w:rPr>
        <w:t>Report.</w:t>
      </w:r>
    </w:p>
    <w:p w:rsidR="005D2DA7" w:rsidRPr="00AF5796" w:rsidRDefault="005D2DA7" w:rsidP="008C0C5E">
      <w:pPr>
        <w:rPr>
          <w:lang w:val="en-US"/>
        </w:rPr>
      </w:pPr>
      <w:r w:rsidRPr="00AF5796">
        <w:rPr>
          <w:lang w:val="en-US" w:eastAsia="ja-JP"/>
        </w:rPr>
        <w:t>This Report contains global IMT traffic estimates for the years 2020 to 2030 from several sources.</w:t>
      </w:r>
      <w:r w:rsidRPr="00AF5796">
        <w:rPr>
          <w:lang w:val="en-US"/>
        </w:rPr>
        <w:t xml:space="preserve"> These estimates anticipate that </w:t>
      </w:r>
      <w:r w:rsidRPr="00AF5796">
        <w:rPr>
          <w:lang w:val="en-US" w:eastAsia="ja-JP"/>
        </w:rPr>
        <w:t xml:space="preserve">global </w:t>
      </w:r>
      <w:r w:rsidRPr="00AF5796">
        <w:rPr>
          <w:lang w:val="en-US"/>
        </w:rPr>
        <w:t>IMT traffic will grow in the range of 10-100 times over this period. Note that the variations in the forecasted traffic are due to different assumptions used in these studies. Moreover, the Report includes an estimate of national traffic growth of between 50 and 100</w:t>
      </w:r>
      <w:r w:rsidR="008C0C5E" w:rsidRPr="00AF5796">
        <w:rPr>
          <w:lang w:val="en-US"/>
        </w:rPr>
        <w:t> </w:t>
      </w:r>
      <w:r w:rsidRPr="00AF5796">
        <w:rPr>
          <w:lang w:val="en-US"/>
        </w:rPr>
        <w:t>times over this period, as depicted in Annex 2.</w:t>
      </w:r>
    </w:p>
    <w:p w:rsidR="005D2DA7" w:rsidRPr="00AF5796" w:rsidRDefault="005D2DA7" w:rsidP="005D2DA7">
      <w:pPr>
        <w:rPr>
          <w:color w:val="000000"/>
          <w:szCs w:val="24"/>
          <w:lang w:val="en-US"/>
        </w:rPr>
      </w:pPr>
      <w:r w:rsidRPr="00AF5796">
        <w:rPr>
          <w:lang w:val="en-US"/>
        </w:rPr>
        <w:t>Traffic asymmetry aspects for this period are also presented in this Report. It is observed that</w:t>
      </w:r>
      <w:r w:rsidRPr="00AF5796">
        <w:rPr>
          <w:color w:val="000000"/>
          <w:szCs w:val="24"/>
          <w:lang w:val="en-US"/>
        </w:rPr>
        <w:t xml:space="preserve"> the current average </w:t>
      </w:r>
      <w:r w:rsidRPr="00AF5796">
        <w:rPr>
          <w:rFonts w:eastAsia="Calibri"/>
          <w:color w:val="000000"/>
          <w:szCs w:val="22"/>
          <w:lang w:val="en-US"/>
        </w:rPr>
        <w:t xml:space="preserve">traffic asymmetry ratio of mobile broadband is in </w:t>
      </w:r>
      <w:r w:rsidRPr="00AF5796">
        <w:rPr>
          <w:color w:val="000000"/>
          <w:szCs w:val="24"/>
          <w:lang w:val="en-US"/>
        </w:rPr>
        <w:t>favour</w:t>
      </w:r>
      <w:r w:rsidRPr="00AF5796">
        <w:rPr>
          <w:rFonts w:eastAsia="Calibri"/>
          <w:color w:val="000000"/>
          <w:szCs w:val="22"/>
          <w:lang w:val="en-US"/>
        </w:rPr>
        <w:t xml:space="preserve"> of the downlink, and this is expected to increase due to growing demand for audio-visual content</w:t>
      </w:r>
      <w:r w:rsidRPr="00AF5796">
        <w:rPr>
          <w:color w:val="000000"/>
          <w:szCs w:val="24"/>
          <w:lang w:val="en-US"/>
        </w:rPr>
        <w:t xml:space="preserve">. </w:t>
      </w:r>
    </w:p>
    <w:p w:rsidR="005D2DA7" w:rsidRPr="00AF5796" w:rsidRDefault="005D2DA7" w:rsidP="005D2DA7">
      <w:pPr>
        <w:rPr>
          <w:lang w:val="en-US"/>
        </w:rPr>
      </w:pPr>
    </w:p>
    <w:p w:rsidR="000F57F0" w:rsidRPr="00AF5796" w:rsidRDefault="000F57F0">
      <w:pPr>
        <w:tabs>
          <w:tab w:val="clear" w:pos="794"/>
          <w:tab w:val="clear" w:pos="1191"/>
          <w:tab w:val="clear" w:pos="1588"/>
          <w:tab w:val="clear" w:pos="1985"/>
        </w:tabs>
        <w:overflowPunct/>
        <w:autoSpaceDE/>
        <w:autoSpaceDN/>
        <w:adjustRightInd/>
        <w:spacing w:before="0"/>
        <w:jc w:val="left"/>
        <w:textAlignment w:val="auto"/>
        <w:rPr>
          <w:b/>
          <w:lang w:val="en-US"/>
        </w:rPr>
      </w:pPr>
      <w:r w:rsidRPr="00AF5796">
        <w:rPr>
          <w:lang w:val="en-US"/>
        </w:rPr>
        <w:br w:type="page"/>
      </w:r>
    </w:p>
    <w:p w:rsidR="005D2DA7" w:rsidRPr="00AF5796" w:rsidRDefault="005D2DA7" w:rsidP="00207607">
      <w:pPr>
        <w:pStyle w:val="Headingb"/>
        <w:rPr>
          <w:lang w:val="en-US"/>
        </w:rPr>
      </w:pPr>
      <w:r w:rsidRPr="00AF5796">
        <w:rPr>
          <w:lang w:val="en-US"/>
        </w:rPr>
        <w:lastRenderedPageBreak/>
        <w:t>List of acronyms and abbreviations</w:t>
      </w:r>
    </w:p>
    <w:tbl>
      <w:tblPr>
        <w:tblW w:w="0" w:type="auto"/>
        <w:tblLook w:val="04A0" w:firstRow="1" w:lastRow="0" w:firstColumn="1" w:lastColumn="0" w:noHBand="0" w:noVBand="1"/>
      </w:tblPr>
      <w:tblGrid>
        <w:gridCol w:w="2694"/>
        <w:gridCol w:w="6486"/>
      </w:tblGrid>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CAGR</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Compound </w:t>
            </w:r>
            <w:r w:rsidR="003818F8" w:rsidRPr="00AF5796">
              <w:rPr>
                <w:rFonts w:asciiTheme="majorBidi" w:hAnsiTheme="majorBidi" w:cstheme="majorBidi"/>
                <w:sz w:val="24"/>
                <w:szCs w:val="24"/>
                <w:lang w:val="en-US"/>
              </w:rPr>
              <w:t xml:space="preserve">annual </w:t>
            </w:r>
            <w:r w:rsidR="008F56ED" w:rsidRPr="00AF5796">
              <w:rPr>
                <w:rFonts w:asciiTheme="majorBidi" w:hAnsiTheme="majorBidi" w:cstheme="majorBidi"/>
                <w:sz w:val="24"/>
                <w:szCs w:val="24"/>
                <w:lang w:val="en-US"/>
              </w:rPr>
              <w:t>growth rate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CEE</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Central and Eastern Europe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DVR</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Digital </w:t>
            </w:r>
            <w:r w:rsidR="008F56ED" w:rsidRPr="00AF5796">
              <w:rPr>
                <w:rFonts w:asciiTheme="majorBidi" w:hAnsiTheme="majorBidi" w:cstheme="majorBidi"/>
                <w:sz w:val="24"/>
                <w:szCs w:val="24"/>
                <w:lang w:val="en-US"/>
              </w:rPr>
              <w:t>video recorder</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FBB</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Fixed </w:t>
            </w:r>
            <w:r w:rsidR="008F56ED" w:rsidRPr="00AF5796">
              <w:rPr>
                <w:rFonts w:asciiTheme="majorBidi" w:hAnsiTheme="majorBidi" w:cstheme="majorBidi"/>
                <w:sz w:val="24"/>
                <w:szCs w:val="24"/>
                <w:lang w:val="en-US"/>
              </w:rPr>
              <w:t>broadband</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HSPA</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High </w:t>
            </w:r>
            <w:r w:rsidR="008F56ED" w:rsidRPr="00AF5796">
              <w:rPr>
                <w:rFonts w:asciiTheme="majorBidi" w:hAnsiTheme="majorBidi" w:cstheme="majorBidi"/>
                <w:sz w:val="24"/>
                <w:szCs w:val="24"/>
                <w:lang w:val="en-US"/>
              </w:rPr>
              <w:t>speed packet access</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IMT</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International Mobile Telecommunications</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LAA</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Licensed </w:t>
            </w:r>
            <w:r w:rsidR="008F56ED" w:rsidRPr="00AF5796">
              <w:rPr>
                <w:rFonts w:asciiTheme="majorBidi" w:hAnsiTheme="majorBidi" w:cstheme="majorBidi"/>
                <w:sz w:val="24"/>
                <w:szCs w:val="24"/>
                <w:lang w:val="en-US"/>
              </w:rPr>
              <w:t>assisted access</w:t>
            </w:r>
          </w:p>
        </w:tc>
      </w:tr>
      <w:tr w:rsidR="005D2DA7" w:rsidRPr="00AF4361"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LTE/LTE-Advanced</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Long </w:t>
            </w:r>
            <w:r w:rsidR="008F56ED" w:rsidRPr="00AF5796">
              <w:rPr>
                <w:rFonts w:asciiTheme="majorBidi" w:hAnsiTheme="majorBidi" w:cstheme="majorBidi"/>
                <w:sz w:val="24"/>
                <w:szCs w:val="24"/>
                <w:lang w:val="en-US"/>
              </w:rPr>
              <w:t>term evolution</w:t>
            </w:r>
            <w:r w:rsidRPr="00AF5796">
              <w:rPr>
                <w:rFonts w:asciiTheme="majorBidi" w:hAnsiTheme="majorBidi" w:cstheme="majorBidi"/>
                <w:sz w:val="24"/>
                <w:szCs w:val="24"/>
                <w:lang w:val="en-US"/>
              </w:rPr>
              <w:t>/</w:t>
            </w:r>
            <w:r w:rsidR="008F56ED" w:rsidRPr="00AF5796">
              <w:rPr>
                <w:rFonts w:asciiTheme="majorBidi" w:hAnsiTheme="majorBidi" w:cstheme="majorBidi"/>
                <w:sz w:val="24"/>
                <w:szCs w:val="24"/>
                <w:lang w:val="en-US"/>
              </w:rPr>
              <w:t>long term evolution</w:t>
            </w:r>
            <w:r w:rsidRPr="00AF5796">
              <w:rPr>
                <w:rFonts w:asciiTheme="majorBidi" w:hAnsiTheme="majorBidi" w:cstheme="majorBidi"/>
                <w:sz w:val="24"/>
                <w:szCs w:val="24"/>
                <w:lang w:val="en-US"/>
              </w:rPr>
              <w:t>-</w:t>
            </w:r>
            <w:r w:rsidR="008F56ED" w:rsidRPr="00AF5796">
              <w:rPr>
                <w:rFonts w:asciiTheme="majorBidi" w:hAnsiTheme="majorBidi" w:cstheme="majorBidi"/>
                <w:sz w:val="24"/>
                <w:szCs w:val="24"/>
                <w:lang w:val="en-US"/>
              </w:rPr>
              <w:t>advanced</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MBB</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Mobile </w:t>
            </w:r>
            <w:r w:rsidR="008F56ED" w:rsidRPr="00AF5796">
              <w:rPr>
                <w:rFonts w:asciiTheme="majorBidi" w:hAnsiTheme="majorBidi" w:cstheme="majorBidi"/>
                <w:sz w:val="24"/>
                <w:szCs w:val="24"/>
                <w:lang w:val="en-US"/>
              </w:rPr>
              <w:t>broadband</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M2M</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Machine-to-</w:t>
            </w:r>
            <w:r w:rsidR="008F56ED" w:rsidRPr="00AF5796">
              <w:rPr>
                <w:rFonts w:asciiTheme="majorBidi" w:hAnsiTheme="majorBidi" w:cstheme="majorBidi"/>
                <w:sz w:val="24"/>
                <w:szCs w:val="24"/>
                <w:lang w:val="en-US"/>
              </w:rPr>
              <w:t>machine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NAR</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North American Region</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OTT</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Over-</w:t>
            </w:r>
            <w:r w:rsidR="008F56ED" w:rsidRPr="00AF5796">
              <w:rPr>
                <w:rFonts w:asciiTheme="majorBidi" w:hAnsiTheme="majorBidi" w:cstheme="majorBidi"/>
                <w:sz w:val="24"/>
                <w:szCs w:val="24"/>
                <w:lang w:val="en-US"/>
              </w:rPr>
              <w:t>the</w:t>
            </w:r>
            <w:r w:rsidRPr="00AF5796">
              <w:rPr>
                <w:rFonts w:asciiTheme="majorBidi" w:hAnsiTheme="majorBidi" w:cstheme="majorBidi"/>
                <w:sz w:val="24"/>
                <w:szCs w:val="24"/>
                <w:lang w:val="en-US"/>
              </w:rPr>
              <w:t>-</w:t>
            </w:r>
            <w:r w:rsidR="008F56ED" w:rsidRPr="00AF5796">
              <w:rPr>
                <w:rFonts w:asciiTheme="majorBidi" w:hAnsiTheme="majorBidi" w:cstheme="majorBidi"/>
                <w:sz w:val="24"/>
                <w:szCs w:val="24"/>
                <w:lang w:val="en-US"/>
              </w:rPr>
              <w:t>top</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QoE</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Quality of </w:t>
            </w:r>
            <w:r w:rsidR="008F56ED" w:rsidRPr="00AF5796">
              <w:rPr>
                <w:rFonts w:asciiTheme="majorBidi" w:hAnsiTheme="majorBidi" w:cstheme="majorBidi"/>
                <w:sz w:val="24"/>
                <w:szCs w:val="24"/>
                <w:lang w:val="en-US"/>
              </w:rPr>
              <w:t>experience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RAT</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Radio Access Technology</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TCP ACK</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Transmission </w:t>
            </w:r>
            <w:r w:rsidR="008F56ED" w:rsidRPr="00AF5796">
              <w:rPr>
                <w:rFonts w:asciiTheme="majorBidi" w:hAnsiTheme="majorBidi" w:cstheme="majorBidi"/>
                <w:sz w:val="24"/>
                <w:szCs w:val="24"/>
                <w:lang w:val="en-US"/>
              </w:rPr>
              <w:t>control protocol acknowledgment</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UL/DL</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Uplink/</w:t>
            </w:r>
            <w:r w:rsidR="008F56ED" w:rsidRPr="00AF5796">
              <w:rPr>
                <w:rFonts w:asciiTheme="majorBidi" w:hAnsiTheme="majorBidi" w:cstheme="majorBidi"/>
                <w:sz w:val="24"/>
                <w:szCs w:val="24"/>
                <w:lang w:val="en-US"/>
              </w:rPr>
              <w:t>downlink</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UHD</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 xml:space="preserve">Ultra </w:t>
            </w:r>
            <w:r w:rsidR="008F56ED" w:rsidRPr="00AF5796">
              <w:rPr>
                <w:rFonts w:asciiTheme="majorBidi" w:hAnsiTheme="majorBidi" w:cstheme="majorBidi"/>
                <w:color w:val="000000" w:themeColor="text1"/>
                <w:sz w:val="24"/>
                <w:szCs w:val="24"/>
                <w:lang w:val="en-US"/>
              </w:rPr>
              <w:t>high definition</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UN</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United Nations</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VoIP</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Voice-over IP</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WCDMA</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Wideband –CDMA</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WE</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Western Europe</w:t>
            </w:r>
          </w:p>
        </w:tc>
      </w:tr>
    </w:tbl>
    <w:p w:rsidR="005D2DA7" w:rsidRPr="00AF5796" w:rsidRDefault="005D2DA7" w:rsidP="005D2DA7">
      <w:pPr>
        <w:overflowPunct/>
        <w:autoSpaceDE/>
        <w:autoSpaceDN/>
        <w:adjustRightInd/>
        <w:spacing w:before="0"/>
        <w:textAlignment w:val="auto"/>
        <w:rPr>
          <w:rFonts w:eastAsia="Calibri"/>
          <w:caps/>
          <w:sz w:val="28"/>
          <w:lang w:val="en-US"/>
        </w:rPr>
      </w:pPr>
    </w:p>
    <w:p w:rsidR="000448C4" w:rsidRPr="00AF5796" w:rsidRDefault="000448C4" w:rsidP="005D2DA7">
      <w:pPr>
        <w:overflowPunct/>
        <w:autoSpaceDE/>
        <w:autoSpaceDN/>
        <w:adjustRightInd/>
        <w:spacing w:before="0"/>
        <w:textAlignment w:val="auto"/>
        <w:rPr>
          <w:rFonts w:eastAsia="Calibri"/>
          <w:caps/>
          <w:sz w:val="28"/>
          <w:lang w:val="en-US"/>
        </w:rPr>
      </w:pPr>
    </w:p>
    <w:p w:rsidR="005D2DA7" w:rsidRPr="00AF5796" w:rsidRDefault="005D2DA7" w:rsidP="000448C4">
      <w:pPr>
        <w:pStyle w:val="AnnexNoTitle"/>
        <w:rPr>
          <w:szCs w:val="28"/>
          <w:lang w:val="en-US"/>
        </w:rPr>
      </w:pPr>
      <w:bookmarkStart w:id="53" w:name="_Toc427935120"/>
      <w:r w:rsidRPr="00AF5796">
        <w:rPr>
          <w:rFonts w:eastAsia="Calibri"/>
          <w:lang w:val="en-US"/>
        </w:rPr>
        <w:t>Annex 1</w:t>
      </w:r>
      <w:r w:rsidR="000448C4" w:rsidRPr="00AF5796">
        <w:rPr>
          <w:rFonts w:eastAsia="Calibri"/>
          <w:lang w:val="en-US"/>
        </w:rPr>
        <w:br/>
      </w:r>
      <w:r w:rsidR="000448C4" w:rsidRPr="00AF5796">
        <w:rPr>
          <w:rFonts w:eastAsia="Calibri"/>
          <w:lang w:val="en-US"/>
        </w:rPr>
        <w:br/>
      </w:r>
      <w:r w:rsidRPr="00AF5796">
        <w:rPr>
          <w:rFonts w:eastAsia="Calibri"/>
          <w:lang w:val="en-US"/>
        </w:rPr>
        <w:t>Examples of basic estimation methods</w:t>
      </w:r>
      <w:bookmarkEnd w:id="53"/>
    </w:p>
    <w:p w:rsidR="005D2DA7" w:rsidRPr="00AF5796" w:rsidRDefault="005D2DA7" w:rsidP="0038398E">
      <w:pPr>
        <w:pStyle w:val="Normalaftertitle"/>
        <w:rPr>
          <w:lang w:val="en-US"/>
        </w:rPr>
      </w:pPr>
      <w:r w:rsidRPr="00AF5796">
        <w:rPr>
          <w:lang w:val="en-US"/>
        </w:rPr>
        <w:t>Some of the estimations used in this Report use a methodology which rests on a combination of analyst projections, in-house estimates and forecasts, and direct data collection. The main statistical data comes from operators, Cisco VNI White Paper and some international consultant companies. Based on historical data and a group of common curve fitting methods, the final results can be estimated.</w:t>
      </w:r>
    </w:p>
    <w:p w:rsidR="005D2DA7" w:rsidRPr="00AF5796" w:rsidRDefault="005D2DA7" w:rsidP="005D2DA7">
      <w:pPr>
        <w:rPr>
          <w:lang w:val="en-US"/>
        </w:rPr>
      </w:pPr>
      <w:r w:rsidRPr="00AF5796">
        <w:rPr>
          <w:b/>
          <w:bCs/>
          <w:lang w:val="en-US"/>
        </w:rPr>
        <w:t>Curve fitting</w:t>
      </w:r>
      <w:r w:rsidRPr="00AF5796">
        <w:rPr>
          <w:b/>
          <w:bCs/>
          <w:lang w:val="en-US" w:eastAsia="ja-JP"/>
        </w:rPr>
        <w:t>:</w:t>
      </w:r>
      <w:r w:rsidRPr="00AF5796">
        <w:rPr>
          <w:lang w:val="en-US" w:eastAsia="ja-JP"/>
        </w:rPr>
        <w:t xml:space="preserve"> T</w:t>
      </w:r>
      <w:r w:rsidRPr="00AF5796">
        <w:rPr>
          <w:lang w:val="en-US"/>
        </w:rPr>
        <w:t>his method constructs a curve, or a mathematical function, which can best fit a group of data points, possibly subject to constraints. Curve fitting can involve either interpolation, where an exact fit to the data is required, or smoothing, in which a "smooth" function is constructed that approximately fits the data. The fitted curves can be used as an aid for data visualization, to infer values of a function where no data is available, and to summarize the relationships among two or more variables.</w:t>
      </w:r>
    </w:p>
    <w:p w:rsidR="005D2DA7" w:rsidRPr="00AF5796" w:rsidRDefault="005D2DA7" w:rsidP="005D2DA7">
      <w:pPr>
        <w:rPr>
          <w:lang w:val="en-US"/>
        </w:rPr>
      </w:pPr>
      <w:r w:rsidRPr="00AF5796">
        <w:rPr>
          <w:b/>
          <w:bCs/>
          <w:lang w:val="en-US"/>
        </w:rPr>
        <w:lastRenderedPageBreak/>
        <w:t>S-curve</w:t>
      </w:r>
      <w:r w:rsidRPr="00AF5796">
        <w:rPr>
          <w:b/>
          <w:bCs/>
          <w:lang w:val="en-US" w:eastAsia="ja-JP"/>
        </w:rPr>
        <w:t>:</w:t>
      </w:r>
      <w:r w:rsidRPr="00AF5796">
        <w:rPr>
          <w:lang w:val="en-US" w:eastAsia="ja-JP"/>
        </w:rPr>
        <w:t xml:space="preserve"> T</w:t>
      </w:r>
      <w:r w:rsidRPr="00AF5796">
        <w:rPr>
          <w:lang w:val="en-US"/>
        </w:rPr>
        <w:t>his method describes a sigmoid function, which is a mathematical function that produces a sigmoid, or "S"-shaped, curve. It is mostly presented in the classification assessment model or logistic regression model, which is the common method of empirical analysis in sociology, biostatistics, clinical, quantity psychology, marketing and other statistics.</w:t>
      </w:r>
    </w:p>
    <w:p w:rsidR="00E03534" w:rsidRPr="00AF5796" w:rsidRDefault="00E03534" w:rsidP="005D2DA7">
      <w:pPr>
        <w:rPr>
          <w:lang w:val="en-US"/>
        </w:rPr>
      </w:pPr>
    </w:p>
    <w:p w:rsidR="00E03534" w:rsidRPr="00AF5796" w:rsidRDefault="00E03534" w:rsidP="005D2DA7">
      <w:pPr>
        <w:rPr>
          <w:lang w:val="en-US"/>
        </w:rPr>
      </w:pPr>
    </w:p>
    <w:p w:rsidR="005D2DA7" w:rsidRPr="00AF5796" w:rsidRDefault="00622791" w:rsidP="00622791">
      <w:pPr>
        <w:pStyle w:val="AnnexNoTitle"/>
        <w:rPr>
          <w:rFonts w:eastAsia="Calibri"/>
          <w:lang w:val="en-US"/>
        </w:rPr>
      </w:pPr>
      <w:bookmarkStart w:id="54" w:name="_Toc427935121"/>
      <w:r w:rsidRPr="00AF5796">
        <w:rPr>
          <w:rFonts w:eastAsia="Calibri"/>
          <w:lang w:val="en-US"/>
        </w:rPr>
        <w:t xml:space="preserve">Annex </w:t>
      </w:r>
      <w:r w:rsidR="005D2DA7" w:rsidRPr="00AF5796">
        <w:rPr>
          <w:rFonts w:eastAsia="Calibri"/>
          <w:lang w:val="en-US"/>
        </w:rPr>
        <w:t>2</w:t>
      </w:r>
      <w:r w:rsidRPr="00AF5796">
        <w:rPr>
          <w:rFonts w:eastAsia="Calibri"/>
          <w:lang w:val="en-US"/>
        </w:rPr>
        <w:br/>
      </w:r>
      <w:r w:rsidRPr="00AF5796">
        <w:rPr>
          <w:rFonts w:eastAsia="Calibri"/>
          <w:lang w:val="en-US"/>
        </w:rPr>
        <w:br/>
      </w:r>
      <w:r w:rsidR="005D2DA7" w:rsidRPr="00AF5796">
        <w:rPr>
          <w:rFonts w:eastAsia="Calibri"/>
          <w:lang w:val="en-US"/>
        </w:rPr>
        <w:t>Country-specific information</w:t>
      </w:r>
      <w:bookmarkEnd w:id="54"/>
    </w:p>
    <w:p w:rsidR="005D2DA7" w:rsidRPr="00AF5796" w:rsidRDefault="005D2DA7" w:rsidP="00E03534">
      <w:pPr>
        <w:pStyle w:val="Heading2"/>
        <w:rPr>
          <w:lang w:val="en-US"/>
        </w:rPr>
      </w:pPr>
      <w:bookmarkStart w:id="55" w:name="_Toc427932311"/>
      <w:bookmarkStart w:id="56" w:name="_Toc427935122"/>
      <w:r w:rsidRPr="00AF5796">
        <w:rPr>
          <w:lang w:val="en-US"/>
        </w:rPr>
        <w:t>A2.1</w:t>
      </w:r>
      <w:r w:rsidRPr="00AF5796">
        <w:rPr>
          <w:lang w:val="en-US"/>
        </w:rPr>
        <w:tab/>
        <w:t>China</w:t>
      </w:r>
      <w:bookmarkEnd w:id="55"/>
      <w:bookmarkEnd w:id="56"/>
    </w:p>
    <w:p w:rsidR="005D2DA7" w:rsidRPr="00AF5796" w:rsidRDefault="005D2DA7" w:rsidP="00E03534">
      <w:pPr>
        <w:pStyle w:val="Heading3"/>
        <w:rPr>
          <w:lang w:val="en-US"/>
        </w:rPr>
      </w:pPr>
      <w:r w:rsidRPr="00AF5796">
        <w:rPr>
          <w:lang w:val="en-US"/>
        </w:rPr>
        <w:t>A2.1.1</w:t>
      </w:r>
      <w:r w:rsidRPr="00AF5796">
        <w:rPr>
          <w:lang w:val="en-US"/>
        </w:rPr>
        <w:tab/>
        <w:t>Personal device forecast for China</w:t>
      </w:r>
    </w:p>
    <w:p w:rsidR="005D2DA7" w:rsidRPr="00AF5796" w:rsidRDefault="005D2DA7" w:rsidP="00BC4B4B">
      <w:pPr>
        <w:spacing w:after="360"/>
        <w:rPr>
          <w:lang w:val="en-US"/>
        </w:rPr>
      </w:pPr>
      <w:r w:rsidRPr="00AF5796">
        <w:rPr>
          <w:lang w:val="en-US"/>
        </w:rPr>
        <w:t>Section 4.2 of this Report includes a global estimation by different terminal types. In this Annex, China-specific information is given. Estimation methods of mobile subscriptions of each terminal type in China was based on the curve fitting and then revised though normalization method based on the estimated result of total mobile subscriptions. Each type of terminal is estimated through S</w:t>
      </w:r>
      <w:r w:rsidRPr="00AF5796">
        <w:rPr>
          <w:lang w:val="en-US"/>
        </w:rPr>
        <w:noBreakHyphen/>
        <w:t xml:space="preserve">curve method separately, with some assumptions on market trends (maximum annual growth of penetration ratio and saturated penetration ratio). The estimated result was finally revised through normalization method based on the estimated result of overall mobile subscriptions in China (with the assumption that the proportion of each type of terminal obtained from respective curve-fitting results is unchanged), see </w:t>
      </w:r>
      <w:r w:rsidR="00207607" w:rsidRPr="00AF5796">
        <w:rPr>
          <w:lang w:val="en-US"/>
        </w:rPr>
        <w:t>Fig.</w:t>
      </w:r>
      <w:r w:rsidR="00BC4B4B" w:rsidRPr="00AF5796">
        <w:rPr>
          <w:lang w:val="en-US"/>
        </w:rPr>
        <w:t> </w:t>
      </w:r>
      <w:r w:rsidR="00567C49">
        <w:rPr>
          <w:lang w:val="en-US"/>
        </w:rPr>
        <w:t>A</w:t>
      </w:r>
      <w:r w:rsidRPr="00AF5796">
        <w:rPr>
          <w:lang w:val="en-US"/>
        </w:rPr>
        <w:t>2.1. Statistical information provided from current networks of Chinese operators.</w:t>
      </w:r>
    </w:p>
    <w:p w:rsidR="005D2DA7" w:rsidRPr="00AF5796" w:rsidRDefault="005D2DA7" w:rsidP="00E046C7">
      <w:pPr>
        <w:pStyle w:val="FigureNo"/>
        <w:rPr>
          <w:lang w:val="en-US"/>
        </w:rPr>
      </w:pPr>
      <w:r w:rsidRPr="00AF5796">
        <w:rPr>
          <w:lang w:val="en-US"/>
        </w:rPr>
        <w:t xml:space="preserve">Figure </w:t>
      </w:r>
      <w:r w:rsidR="00567C49">
        <w:rPr>
          <w:lang w:val="en-US"/>
        </w:rPr>
        <w:t>A</w:t>
      </w:r>
      <w:r w:rsidRPr="00AF5796">
        <w:rPr>
          <w:lang w:val="en-US"/>
        </w:rPr>
        <w:t xml:space="preserve">2.1 </w:t>
      </w:r>
    </w:p>
    <w:p w:rsidR="005D2DA7" w:rsidRPr="00AF5796" w:rsidRDefault="005D2DA7" w:rsidP="00E046C7">
      <w:pPr>
        <w:pStyle w:val="Figuretitle"/>
        <w:rPr>
          <w:lang w:val="en-US"/>
        </w:rPr>
      </w:pPr>
      <w:r w:rsidRPr="00AF5796">
        <w:rPr>
          <w:lang w:val="en-US"/>
        </w:rPr>
        <w:t xml:space="preserve">Estimation of mobile subscriptions in China with different </w:t>
      </w:r>
      <w:r w:rsidRPr="00AF5796">
        <w:rPr>
          <w:lang w:val="en-US" w:eastAsia="zh-CN"/>
        </w:rPr>
        <w:t>terminal types (2020-2030)</w:t>
      </w:r>
    </w:p>
    <w:p w:rsidR="005D2DA7" w:rsidRPr="00AF5796" w:rsidRDefault="005D2DA7" w:rsidP="00E046C7">
      <w:pPr>
        <w:pStyle w:val="Figure"/>
        <w:rPr>
          <w:lang w:val="en-US" w:eastAsia="zh-CN"/>
        </w:rPr>
      </w:pPr>
      <w:r w:rsidRPr="00AF5796">
        <w:rPr>
          <w:noProof/>
          <w:lang w:val="en-US" w:eastAsia="zh-CN"/>
        </w:rPr>
        <w:drawing>
          <wp:inline distT="0" distB="0" distL="0" distR="0" wp14:anchorId="42BA8F8F" wp14:editId="0A223D7D">
            <wp:extent cx="5514975" cy="2457450"/>
            <wp:effectExtent l="19050" t="0" r="9525" b="0"/>
            <wp:docPr id="38" name="图表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D2DA7" w:rsidRPr="00AF5796" w:rsidRDefault="005D2DA7" w:rsidP="00567C49">
      <w:pPr>
        <w:rPr>
          <w:lang w:val="en-US"/>
        </w:rPr>
      </w:pPr>
      <w:r w:rsidRPr="00AF5796">
        <w:rPr>
          <w:lang w:val="en-US"/>
        </w:rPr>
        <w:t xml:space="preserve">This </w:t>
      </w:r>
      <w:r w:rsidR="00567C49">
        <w:rPr>
          <w:lang w:val="en-US"/>
        </w:rPr>
        <w:t>F</w:t>
      </w:r>
      <w:r w:rsidRPr="00AF5796">
        <w:rPr>
          <w:lang w:val="en-US"/>
        </w:rPr>
        <w:t>igure shows that the number of mobile subscriptions for smartphones in China is estimated to be 2</w:t>
      </w:r>
      <w:r w:rsidR="009D72EA" w:rsidRPr="00AF5796">
        <w:rPr>
          <w:lang w:val="en-US"/>
        </w:rPr>
        <w:t> </w:t>
      </w:r>
      <w:r w:rsidRPr="00AF5796">
        <w:rPr>
          <w:lang w:val="en-US"/>
        </w:rPr>
        <w:t>billion in</w:t>
      </w:r>
      <w:r w:rsidR="009D72EA" w:rsidRPr="00AF5796">
        <w:rPr>
          <w:lang w:val="en-US"/>
        </w:rPr>
        <w:t> </w:t>
      </w:r>
      <w:r w:rsidRPr="00AF5796">
        <w:rPr>
          <w:lang w:val="en-US"/>
        </w:rPr>
        <w:t>2025 and 2.3</w:t>
      </w:r>
      <w:r w:rsidR="009D72EA" w:rsidRPr="00AF5796">
        <w:rPr>
          <w:lang w:val="en-US"/>
        </w:rPr>
        <w:t> </w:t>
      </w:r>
      <w:r w:rsidRPr="00AF5796">
        <w:rPr>
          <w:lang w:val="en-US"/>
        </w:rPr>
        <w:t>billion in</w:t>
      </w:r>
      <w:r w:rsidR="009D72EA" w:rsidRPr="00AF5796">
        <w:rPr>
          <w:lang w:val="en-US"/>
        </w:rPr>
        <w:t> </w:t>
      </w:r>
      <w:r w:rsidRPr="00AF5796">
        <w:rPr>
          <w:lang w:val="en-US"/>
        </w:rPr>
        <w:t>2030. The number of subscriptions for tablets and other smart devices in China is estimated to be 0.7</w:t>
      </w:r>
      <w:r w:rsidR="00135F65" w:rsidRPr="00AF5796">
        <w:rPr>
          <w:lang w:val="en-US"/>
        </w:rPr>
        <w:t> </w:t>
      </w:r>
      <w:r w:rsidRPr="00AF5796">
        <w:rPr>
          <w:lang w:val="en-US"/>
        </w:rPr>
        <w:t>billion in 2025 and 0.8 billion in 2030. The number of feature phone subscriptions in China is estimated to decrease rapidly between 2020 and 2030.</w:t>
      </w:r>
    </w:p>
    <w:p w:rsidR="005D2DA7" w:rsidRPr="00AF5796" w:rsidRDefault="005D2DA7" w:rsidP="004B6A14">
      <w:pPr>
        <w:pStyle w:val="Heading3"/>
        <w:rPr>
          <w:lang w:val="en-US"/>
        </w:rPr>
      </w:pPr>
      <w:r w:rsidRPr="00AF5796">
        <w:rPr>
          <w:lang w:val="en-US"/>
        </w:rPr>
        <w:lastRenderedPageBreak/>
        <w:t>A2.1.2</w:t>
      </w:r>
      <w:r w:rsidRPr="00AF5796">
        <w:rPr>
          <w:lang w:val="en-US"/>
        </w:rPr>
        <w:tab/>
        <w:t>M2M Subscriptions in China</w:t>
      </w:r>
    </w:p>
    <w:p w:rsidR="00732125" w:rsidRPr="00AF5796" w:rsidRDefault="005D2DA7" w:rsidP="00567C49">
      <w:pPr>
        <w:rPr>
          <w:lang w:val="en-US"/>
        </w:rPr>
      </w:pPr>
      <w:r w:rsidRPr="00AF5796">
        <w:rPr>
          <w:lang w:val="en-US"/>
        </w:rPr>
        <w:t xml:space="preserve">Section 4.2 describes M2M subscriptions on a global basis and provided estimations of M2M subscriptions through 2030. This section again gives similar information for China only. Estimation methods and procedures as well as estimation models and parameters followed the same steps as described in </w:t>
      </w:r>
      <w:r w:rsidR="00567C49">
        <w:rPr>
          <w:lang w:val="en-US"/>
        </w:rPr>
        <w:t>§</w:t>
      </w:r>
      <w:r w:rsidRPr="00AF5796">
        <w:rPr>
          <w:lang w:val="en-US"/>
        </w:rPr>
        <w:t xml:space="preserve"> 4.2, using Chinese population figures instead of global population figures. </w:t>
      </w:r>
    </w:p>
    <w:p w:rsidR="005D2DA7" w:rsidRPr="00AF5796" w:rsidRDefault="005D2DA7" w:rsidP="005D2DA7">
      <w:pPr>
        <w:rPr>
          <w:lang w:val="en-US"/>
        </w:rPr>
      </w:pPr>
      <w:r w:rsidRPr="00AF5796">
        <w:rPr>
          <w:lang w:val="en-US"/>
        </w:rPr>
        <w:t>M2M subscriptions in China was based on S-Curve method to estimates the penetration ratio of Chinese M2M subscriptions to Chinese population by year 2030, with some assumptions on market trends (maximum annual growth of penetration ratio and saturated penetration ratio).</w:t>
      </w:r>
    </w:p>
    <w:p w:rsidR="005D2DA7" w:rsidRPr="00AF5796" w:rsidRDefault="005D2DA7" w:rsidP="005D2DA7">
      <w:pPr>
        <w:rPr>
          <w:lang w:val="en-US"/>
        </w:rPr>
      </w:pPr>
      <w:r w:rsidRPr="00AF5796">
        <w:rPr>
          <w:lang w:val="en-US"/>
        </w:rPr>
        <w:t>Statistical information provided by current networks of Chinese</w:t>
      </w:r>
      <w:r w:rsidR="00567C49">
        <w:rPr>
          <w:lang w:val="en-US"/>
        </w:rPr>
        <w:t xml:space="preserve"> operators as depicted in Table A</w:t>
      </w:r>
      <w:r w:rsidRPr="00AF5796">
        <w:rPr>
          <w:lang w:val="en-US"/>
        </w:rPr>
        <w:t>2.1.</w:t>
      </w:r>
    </w:p>
    <w:p w:rsidR="005D2DA7" w:rsidRPr="00AF5796" w:rsidRDefault="005D2DA7" w:rsidP="009326C6">
      <w:pPr>
        <w:pStyle w:val="TableNo"/>
        <w:rPr>
          <w:lang w:val="en-US"/>
        </w:rPr>
      </w:pPr>
      <w:r w:rsidRPr="00AF5796">
        <w:rPr>
          <w:lang w:val="en-US"/>
        </w:rPr>
        <w:t xml:space="preserve">TABLE </w:t>
      </w:r>
      <w:r w:rsidR="00567C49">
        <w:rPr>
          <w:lang w:val="en-US"/>
        </w:rPr>
        <w:t>A</w:t>
      </w:r>
      <w:r w:rsidRPr="00AF5796">
        <w:rPr>
          <w:lang w:val="en-US"/>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2"/>
        <w:gridCol w:w="850"/>
        <w:gridCol w:w="851"/>
      </w:tblGrid>
      <w:tr w:rsidR="005D2DA7" w:rsidRPr="00AF5796" w:rsidTr="00402590">
        <w:trPr>
          <w:trHeight w:val="161"/>
          <w:jc w:val="center"/>
        </w:trPr>
        <w:tc>
          <w:tcPr>
            <w:tcW w:w="3969" w:type="dxa"/>
          </w:tcPr>
          <w:p w:rsidR="005D2DA7" w:rsidRPr="00AF5796" w:rsidRDefault="005D2DA7" w:rsidP="009326C6">
            <w:pPr>
              <w:pStyle w:val="Tablehead"/>
              <w:rPr>
                <w:lang w:val="en-US"/>
              </w:rPr>
            </w:pPr>
            <w:r w:rsidRPr="00AF5796">
              <w:rPr>
                <w:lang w:val="en-US"/>
              </w:rPr>
              <w:t>Years</w:t>
            </w:r>
          </w:p>
        </w:tc>
        <w:tc>
          <w:tcPr>
            <w:tcW w:w="992" w:type="dxa"/>
          </w:tcPr>
          <w:p w:rsidR="005D2DA7" w:rsidRPr="00AF5796" w:rsidRDefault="005D2DA7" w:rsidP="009326C6">
            <w:pPr>
              <w:pStyle w:val="Tablehead"/>
              <w:rPr>
                <w:lang w:val="en-US"/>
              </w:rPr>
            </w:pPr>
            <w:r w:rsidRPr="00AF5796">
              <w:rPr>
                <w:lang w:val="en-US"/>
              </w:rPr>
              <w:t>2011</w:t>
            </w:r>
          </w:p>
        </w:tc>
        <w:tc>
          <w:tcPr>
            <w:tcW w:w="850" w:type="dxa"/>
          </w:tcPr>
          <w:p w:rsidR="005D2DA7" w:rsidRPr="00AF5796" w:rsidRDefault="005D2DA7" w:rsidP="009326C6">
            <w:pPr>
              <w:pStyle w:val="Tablehead"/>
              <w:rPr>
                <w:lang w:val="en-US"/>
              </w:rPr>
            </w:pPr>
            <w:r w:rsidRPr="00AF5796">
              <w:rPr>
                <w:lang w:val="en-US"/>
              </w:rPr>
              <w:t>2012</w:t>
            </w:r>
          </w:p>
        </w:tc>
        <w:tc>
          <w:tcPr>
            <w:tcW w:w="851" w:type="dxa"/>
          </w:tcPr>
          <w:p w:rsidR="005D2DA7" w:rsidRPr="00AF5796" w:rsidRDefault="005D2DA7" w:rsidP="009326C6">
            <w:pPr>
              <w:pStyle w:val="Tablehead"/>
              <w:rPr>
                <w:lang w:val="en-US"/>
              </w:rPr>
            </w:pPr>
            <w:r w:rsidRPr="00AF5796">
              <w:rPr>
                <w:lang w:val="en-US"/>
              </w:rPr>
              <w:t>2013</w:t>
            </w:r>
          </w:p>
        </w:tc>
      </w:tr>
      <w:tr w:rsidR="005D2DA7" w:rsidRPr="00AF5796" w:rsidTr="00402590">
        <w:trPr>
          <w:jc w:val="center"/>
        </w:trPr>
        <w:tc>
          <w:tcPr>
            <w:tcW w:w="3969" w:type="dxa"/>
          </w:tcPr>
          <w:p w:rsidR="005D2DA7" w:rsidRPr="00AF5796" w:rsidRDefault="005D2DA7" w:rsidP="009326C6">
            <w:pPr>
              <w:pStyle w:val="Tabletext"/>
              <w:rPr>
                <w:lang w:val="en-US"/>
              </w:rPr>
            </w:pPr>
            <w:r w:rsidRPr="00AF5796">
              <w:rPr>
                <w:lang w:val="en-US"/>
              </w:rPr>
              <w:t>M2M subscriptions in China (million)</w:t>
            </w:r>
          </w:p>
        </w:tc>
        <w:tc>
          <w:tcPr>
            <w:tcW w:w="992" w:type="dxa"/>
          </w:tcPr>
          <w:p w:rsidR="005D2DA7" w:rsidRPr="00AF5796" w:rsidRDefault="005D2DA7" w:rsidP="002E6EE7">
            <w:pPr>
              <w:pStyle w:val="Tabletext"/>
              <w:jc w:val="center"/>
              <w:rPr>
                <w:lang w:val="en-US"/>
              </w:rPr>
            </w:pPr>
            <w:r w:rsidRPr="00AF5796">
              <w:rPr>
                <w:lang w:val="en-US"/>
              </w:rPr>
              <w:t>20</w:t>
            </w:r>
          </w:p>
        </w:tc>
        <w:tc>
          <w:tcPr>
            <w:tcW w:w="850" w:type="dxa"/>
          </w:tcPr>
          <w:p w:rsidR="005D2DA7" w:rsidRPr="00AF5796" w:rsidRDefault="005D2DA7" w:rsidP="002E6EE7">
            <w:pPr>
              <w:pStyle w:val="Tabletext"/>
              <w:jc w:val="center"/>
              <w:rPr>
                <w:lang w:val="en-US"/>
              </w:rPr>
            </w:pPr>
            <w:r w:rsidRPr="00AF5796">
              <w:rPr>
                <w:lang w:val="en-US"/>
              </w:rPr>
              <w:t>34</w:t>
            </w:r>
          </w:p>
        </w:tc>
        <w:tc>
          <w:tcPr>
            <w:tcW w:w="851" w:type="dxa"/>
          </w:tcPr>
          <w:p w:rsidR="005D2DA7" w:rsidRPr="00AF5796" w:rsidRDefault="005D2DA7" w:rsidP="002E6EE7">
            <w:pPr>
              <w:pStyle w:val="Tabletext"/>
              <w:jc w:val="center"/>
              <w:rPr>
                <w:lang w:val="en-US"/>
              </w:rPr>
            </w:pPr>
            <w:r w:rsidRPr="00AF5796">
              <w:rPr>
                <w:lang w:val="en-US"/>
              </w:rPr>
              <w:t>50</w:t>
            </w:r>
          </w:p>
        </w:tc>
      </w:tr>
    </w:tbl>
    <w:p w:rsidR="00732125" w:rsidRPr="00AF5796" w:rsidRDefault="00732125" w:rsidP="00732125">
      <w:pPr>
        <w:pStyle w:val="Tablefin"/>
        <w:rPr>
          <w:lang w:val="en-US"/>
        </w:rPr>
      </w:pPr>
    </w:p>
    <w:p w:rsidR="005D2DA7" w:rsidRPr="00AF5796" w:rsidRDefault="005D2DA7" w:rsidP="005D2DA7">
      <w:pPr>
        <w:rPr>
          <w:lang w:val="en-US"/>
        </w:rPr>
      </w:pPr>
      <w:r w:rsidRPr="00AF5796">
        <w:rPr>
          <w:lang w:val="en-US"/>
        </w:rPr>
        <w:t xml:space="preserve">Figure </w:t>
      </w:r>
      <w:r w:rsidR="00567C49">
        <w:rPr>
          <w:lang w:val="en-US"/>
        </w:rPr>
        <w:t>A</w:t>
      </w:r>
      <w:r w:rsidRPr="00AF5796">
        <w:rPr>
          <w:lang w:val="en-US"/>
        </w:rPr>
        <w:t>2.2 shows the estimates of M2M subscriptions in China in 2020-2030.</w:t>
      </w:r>
    </w:p>
    <w:p w:rsidR="005D2DA7" w:rsidRPr="00AF5796" w:rsidRDefault="005D2DA7" w:rsidP="009326C6">
      <w:pPr>
        <w:pStyle w:val="FigureNo"/>
        <w:rPr>
          <w:lang w:val="en-US"/>
        </w:rPr>
      </w:pPr>
      <w:r w:rsidRPr="00AF5796">
        <w:rPr>
          <w:lang w:val="en-US"/>
        </w:rPr>
        <w:t xml:space="preserve">Figure </w:t>
      </w:r>
      <w:r w:rsidR="00567C49">
        <w:rPr>
          <w:lang w:val="en-US"/>
        </w:rPr>
        <w:t>A</w:t>
      </w:r>
      <w:r w:rsidRPr="00AF5796">
        <w:rPr>
          <w:lang w:val="en-US"/>
        </w:rPr>
        <w:t>2.2</w:t>
      </w:r>
    </w:p>
    <w:p w:rsidR="005D2DA7" w:rsidRPr="00AF5796" w:rsidRDefault="005D2DA7" w:rsidP="009326C6">
      <w:pPr>
        <w:pStyle w:val="Figuretitle"/>
        <w:rPr>
          <w:lang w:val="en-US"/>
        </w:rPr>
      </w:pPr>
      <w:r w:rsidRPr="00AF5796">
        <w:rPr>
          <w:lang w:val="en-US"/>
        </w:rPr>
        <w:t>Estimation of M2M subscriptions in China</w:t>
      </w:r>
    </w:p>
    <w:p w:rsidR="005D2DA7" w:rsidRPr="00AF5796" w:rsidRDefault="005D2DA7" w:rsidP="00732125">
      <w:pPr>
        <w:pStyle w:val="Figure"/>
        <w:rPr>
          <w:lang w:val="en-US"/>
        </w:rPr>
      </w:pPr>
      <w:r w:rsidRPr="00AF5796">
        <w:rPr>
          <w:noProof/>
          <w:lang w:val="en-US" w:eastAsia="zh-CN"/>
        </w:rPr>
        <w:drawing>
          <wp:inline distT="0" distB="0" distL="0" distR="0" wp14:anchorId="5E9DA466" wp14:editId="60B8BB8A">
            <wp:extent cx="5275163" cy="2340591"/>
            <wp:effectExtent l="19050" t="0" r="20737" b="2559"/>
            <wp:docPr id="1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D2DA7" w:rsidRPr="00AF5796" w:rsidRDefault="005D2DA7" w:rsidP="005D2DA7">
      <w:pPr>
        <w:rPr>
          <w:lang w:val="en-US"/>
        </w:rPr>
      </w:pPr>
      <w:r w:rsidRPr="00AF5796">
        <w:rPr>
          <w:lang w:val="en-US"/>
        </w:rPr>
        <w:t xml:space="preserve">It is estimated that the number of M2M subscriptions in China will be 1.5 billion in 2020 and 22.7 billion in 2030. </w:t>
      </w:r>
    </w:p>
    <w:p w:rsidR="005D2DA7" w:rsidRPr="00AF5796" w:rsidRDefault="005D2DA7" w:rsidP="004B6A14">
      <w:pPr>
        <w:pStyle w:val="Heading3"/>
        <w:rPr>
          <w:lang w:val="en-US"/>
        </w:rPr>
      </w:pPr>
      <w:r w:rsidRPr="00AF5796">
        <w:rPr>
          <w:lang w:val="en-US"/>
        </w:rPr>
        <w:t>A2.1.3</w:t>
      </w:r>
      <w:r w:rsidRPr="00AF5796">
        <w:rPr>
          <w:lang w:val="en-US"/>
        </w:rPr>
        <w:tab/>
        <w:t>Estimates of mobile subscriptions in China</w:t>
      </w:r>
    </w:p>
    <w:p w:rsidR="005D2DA7" w:rsidRPr="00AF5796" w:rsidRDefault="005D2DA7" w:rsidP="005D2DA7">
      <w:pPr>
        <w:tabs>
          <w:tab w:val="left" w:pos="648"/>
          <w:tab w:val="left" w:pos="1632"/>
        </w:tabs>
        <w:rPr>
          <w:lang w:val="en-US"/>
        </w:rPr>
      </w:pPr>
      <w:r w:rsidRPr="00AF5796">
        <w:rPr>
          <w:lang w:val="en-US"/>
        </w:rPr>
        <w:t>For the estimation of mobile subscriptions in China, the estimation method and procedures were similar to what was provided above for global estimations in the previous sub-section, using Chinese population. Estimation model and parameters exploited the statistical information provided by China Statistical Yearbook</w:t>
      </w:r>
      <w:r w:rsidRPr="00AF5796">
        <w:rPr>
          <w:position w:val="6"/>
          <w:sz w:val="18"/>
          <w:lang w:val="en-US" w:eastAsia="ja-JP"/>
        </w:rPr>
        <w:footnoteReference w:id="35"/>
      </w:r>
      <w:r w:rsidRPr="00AF5796">
        <w:rPr>
          <w:lang w:val="en-US"/>
        </w:rPr>
        <w:t xml:space="preserve">, as depicted in Table </w:t>
      </w:r>
      <w:r w:rsidR="00567C49">
        <w:rPr>
          <w:lang w:val="en-US"/>
        </w:rPr>
        <w:t>A</w:t>
      </w:r>
      <w:r w:rsidRPr="00AF5796">
        <w:rPr>
          <w:lang w:val="en-US"/>
        </w:rPr>
        <w:t>2.2. The total number was estimated through S-curve method, with some assumptions on market trends (maximum annual growth of penetration ratio and saturated penetration ratio).</w:t>
      </w:r>
    </w:p>
    <w:p w:rsidR="005D2DA7" w:rsidRPr="00AF5796" w:rsidRDefault="005D2DA7" w:rsidP="009326C6">
      <w:pPr>
        <w:pStyle w:val="TableNo"/>
        <w:rPr>
          <w:lang w:val="en-US"/>
        </w:rPr>
      </w:pPr>
      <w:r w:rsidRPr="00AF5796">
        <w:rPr>
          <w:lang w:val="en-US"/>
        </w:rPr>
        <w:lastRenderedPageBreak/>
        <w:t xml:space="preserve">TABLE </w:t>
      </w:r>
      <w:r w:rsidR="00567C49">
        <w:rPr>
          <w:lang w:val="en-US"/>
        </w:rPr>
        <w:t>A</w:t>
      </w:r>
      <w:r w:rsidRPr="00AF5796">
        <w:rPr>
          <w:lang w:val="en-US"/>
        </w:rPr>
        <w:t>2.2</w:t>
      </w:r>
    </w:p>
    <w:tbl>
      <w:tblPr>
        <w:tblW w:w="8505" w:type="dxa"/>
        <w:jc w:val="center"/>
        <w:tblLook w:val="04A0" w:firstRow="1" w:lastRow="0" w:firstColumn="1" w:lastColumn="0" w:noHBand="0" w:noVBand="1"/>
      </w:tblPr>
      <w:tblGrid>
        <w:gridCol w:w="3128"/>
        <w:gridCol w:w="785"/>
        <w:gridCol w:w="656"/>
        <w:gridCol w:w="656"/>
        <w:gridCol w:w="656"/>
        <w:gridCol w:w="656"/>
        <w:gridCol w:w="656"/>
        <w:gridCol w:w="656"/>
        <w:gridCol w:w="656"/>
      </w:tblGrid>
      <w:tr w:rsidR="005D2DA7" w:rsidRPr="00AF5796" w:rsidTr="00F47358">
        <w:trPr>
          <w:trHeight w:val="285"/>
          <w:jc w:val="center"/>
        </w:trPr>
        <w:tc>
          <w:tcPr>
            <w:tcW w:w="2290" w:type="pct"/>
            <w:tcBorders>
              <w:top w:val="single" w:sz="4" w:space="0" w:color="auto"/>
              <w:left w:val="single" w:sz="4" w:space="0" w:color="auto"/>
              <w:bottom w:val="single" w:sz="4" w:space="0" w:color="auto"/>
              <w:right w:val="single" w:sz="4" w:space="0" w:color="auto"/>
            </w:tcBorders>
          </w:tcPr>
          <w:p w:rsidR="005D2DA7" w:rsidRPr="00AF5796" w:rsidRDefault="005D2DA7" w:rsidP="00F47358">
            <w:pPr>
              <w:pStyle w:val="Tablehead"/>
              <w:rPr>
                <w:lang w:val="en-US"/>
              </w:rPr>
            </w:pPr>
            <w:r w:rsidRPr="00AF5796">
              <w:rPr>
                <w:lang w:val="en-US"/>
              </w:rPr>
              <w:t>Years</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2005</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2006</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2007</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2008</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2009</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2010</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2011</w:t>
            </w:r>
          </w:p>
        </w:tc>
        <w:tc>
          <w:tcPr>
            <w:tcW w:w="329"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2012</w:t>
            </w:r>
          </w:p>
        </w:tc>
      </w:tr>
      <w:tr w:rsidR="005D2DA7" w:rsidRPr="00AF5796" w:rsidTr="00F47358">
        <w:trPr>
          <w:trHeight w:val="285"/>
          <w:jc w:val="center"/>
        </w:trPr>
        <w:tc>
          <w:tcPr>
            <w:tcW w:w="2290" w:type="pct"/>
            <w:tcBorders>
              <w:top w:val="single" w:sz="4" w:space="0" w:color="auto"/>
              <w:left w:val="single" w:sz="4" w:space="0" w:color="auto"/>
              <w:bottom w:val="single" w:sz="4" w:space="0" w:color="auto"/>
              <w:right w:val="single" w:sz="4" w:space="0" w:color="auto"/>
            </w:tcBorders>
            <w:vAlign w:val="center"/>
          </w:tcPr>
          <w:p w:rsidR="005D2DA7" w:rsidRPr="00AF5796" w:rsidRDefault="005D2DA7" w:rsidP="002B4087">
            <w:pPr>
              <w:pStyle w:val="Tabletext"/>
              <w:jc w:val="left"/>
              <w:rPr>
                <w:color w:val="000000"/>
                <w:lang w:val="en-US"/>
              </w:rPr>
            </w:pPr>
            <w:r w:rsidRPr="00AF5796">
              <w:rPr>
                <w:lang w:val="en-US"/>
              </w:rPr>
              <w:t>Penetration ratio of mobile subscriptions in China</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30.1%</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35%</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41%</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48%</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56%</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64%</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73%</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83%</w:t>
            </w:r>
          </w:p>
        </w:tc>
      </w:tr>
    </w:tbl>
    <w:p w:rsidR="0080570E" w:rsidRPr="00AF5796" w:rsidRDefault="0080570E" w:rsidP="0080570E">
      <w:pPr>
        <w:pStyle w:val="Tablefin"/>
        <w:rPr>
          <w:lang w:val="en-US"/>
        </w:rPr>
      </w:pPr>
    </w:p>
    <w:p w:rsidR="005D2DA7" w:rsidRPr="00AF5796" w:rsidRDefault="005D2DA7" w:rsidP="005D2DA7">
      <w:pPr>
        <w:rPr>
          <w:lang w:val="en-US"/>
        </w:rPr>
      </w:pPr>
      <w:r w:rsidRPr="00AF5796">
        <w:rPr>
          <w:lang w:val="en-US"/>
        </w:rPr>
        <w:t xml:space="preserve">Figure </w:t>
      </w:r>
      <w:r w:rsidR="00567C49">
        <w:rPr>
          <w:lang w:val="en-US"/>
        </w:rPr>
        <w:t>A</w:t>
      </w:r>
      <w:r w:rsidRPr="00AF5796">
        <w:rPr>
          <w:lang w:val="en-US"/>
        </w:rPr>
        <w:t>2.3 illustrates the estimation of mobile subscriptions in China in 2020-2030.</w:t>
      </w:r>
    </w:p>
    <w:p w:rsidR="005D2DA7" w:rsidRPr="00AF5796" w:rsidRDefault="005D2DA7" w:rsidP="009326C6">
      <w:pPr>
        <w:pStyle w:val="FigureNo"/>
        <w:rPr>
          <w:rFonts w:ascii="Calibri" w:eastAsia="Calibri" w:hAnsi="Calibri"/>
          <w:sz w:val="22"/>
          <w:lang w:val="en-US"/>
        </w:rPr>
      </w:pPr>
      <w:r w:rsidRPr="00AF5796">
        <w:rPr>
          <w:rFonts w:eastAsia="Calibri"/>
          <w:lang w:val="en-US"/>
        </w:rPr>
        <w:t xml:space="preserve">Figure </w:t>
      </w:r>
      <w:r w:rsidR="00567C49">
        <w:rPr>
          <w:rFonts w:eastAsia="Calibri"/>
          <w:lang w:val="en-US"/>
        </w:rPr>
        <w:t>A</w:t>
      </w:r>
      <w:r w:rsidRPr="00AF5796">
        <w:rPr>
          <w:rFonts w:eastAsia="Calibri"/>
          <w:lang w:val="en-US"/>
        </w:rPr>
        <w:t>2.3</w:t>
      </w:r>
    </w:p>
    <w:p w:rsidR="005D2DA7" w:rsidRPr="00AF5796" w:rsidRDefault="005D2DA7" w:rsidP="009326C6">
      <w:pPr>
        <w:pStyle w:val="Figuretitle"/>
        <w:rPr>
          <w:lang w:val="en-US"/>
        </w:rPr>
      </w:pPr>
      <w:r w:rsidRPr="00AF5796">
        <w:rPr>
          <w:lang w:val="en-US"/>
        </w:rPr>
        <w:t>Estimation of mobile subscriptions in China</w:t>
      </w:r>
    </w:p>
    <w:p w:rsidR="005D2DA7" w:rsidRPr="00AF5796" w:rsidRDefault="005D2DA7" w:rsidP="0080570E">
      <w:pPr>
        <w:pStyle w:val="Figure"/>
        <w:rPr>
          <w:lang w:val="en-US"/>
        </w:rPr>
      </w:pPr>
      <w:r w:rsidRPr="00AF5796">
        <w:rPr>
          <w:noProof/>
          <w:lang w:val="en-US" w:eastAsia="zh-CN"/>
        </w:rPr>
        <w:drawing>
          <wp:inline distT="0" distB="0" distL="0" distR="0" wp14:anchorId="29FF78D9" wp14:editId="48CBDCE5">
            <wp:extent cx="5480266" cy="2734574"/>
            <wp:effectExtent l="19050" t="0" r="25184" b="8626"/>
            <wp:docPr id="6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2DA7" w:rsidRPr="00AF5796" w:rsidRDefault="005D2DA7" w:rsidP="005D2DA7">
      <w:pPr>
        <w:pStyle w:val="Heading3"/>
        <w:rPr>
          <w:lang w:val="en-US"/>
        </w:rPr>
      </w:pPr>
      <w:r w:rsidRPr="00AF5796">
        <w:rPr>
          <w:lang w:val="en-US"/>
        </w:rPr>
        <w:t>A2.1.4</w:t>
      </w:r>
      <w:r w:rsidRPr="00AF5796">
        <w:rPr>
          <w:lang w:val="en-US"/>
        </w:rPr>
        <w:tab/>
        <w:t>Mobile traffic estimations in China</w:t>
      </w:r>
    </w:p>
    <w:p w:rsidR="005D2DA7" w:rsidRPr="00AF5796" w:rsidRDefault="005D2DA7" w:rsidP="001B512B">
      <w:pPr>
        <w:rPr>
          <w:lang w:val="en-US"/>
        </w:rPr>
      </w:pPr>
      <w:r w:rsidRPr="00AF5796">
        <w:rPr>
          <w:lang w:val="en-US"/>
        </w:rPr>
        <w:t xml:space="preserve">China provided mobile traffic estimation results in a similar way as described in </w:t>
      </w:r>
      <w:r w:rsidR="001B512B">
        <w:rPr>
          <w:lang w:val="en-US"/>
        </w:rPr>
        <w:t>§ </w:t>
      </w:r>
      <w:r w:rsidRPr="00AF5796">
        <w:rPr>
          <w:lang w:val="en-US"/>
        </w:rPr>
        <w:t xml:space="preserve">5.1 based on the methodology described in the same section. </w:t>
      </w:r>
    </w:p>
    <w:p w:rsidR="005D2DA7" w:rsidRPr="00AF5796" w:rsidRDefault="005D2DA7" w:rsidP="005D2DA7">
      <w:pPr>
        <w:rPr>
          <w:lang w:val="en-US"/>
        </w:rPr>
      </w:pPr>
      <w:r w:rsidRPr="00AF5796">
        <w:rPr>
          <w:lang w:val="en-US"/>
        </w:rPr>
        <w:t xml:space="preserve">Statistical information (Table </w:t>
      </w:r>
      <w:r w:rsidR="00567C49">
        <w:rPr>
          <w:lang w:val="en-US"/>
        </w:rPr>
        <w:t>A</w:t>
      </w:r>
      <w:r w:rsidRPr="00AF5796">
        <w:rPr>
          <w:lang w:val="en-US"/>
        </w:rPr>
        <w:t>2.3) was provided by statistical report of MIIT, China.</w:t>
      </w:r>
    </w:p>
    <w:p w:rsidR="005D2DA7" w:rsidRPr="00AF5796" w:rsidRDefault="005D2DA7" w:rsidP="005D2DA7">
      <w:pPr>
        <w:pStyle w:val="TableNo"/>
        <w:rPr>
          <w:lang w:val="en-US"/>
        </w:rPr>
      </w:pPr>
      <w:r w:rsidRPr="00AF5796">
        <w:rPr>
          <w:lang w:val="en-US"/>
        </w:rPr>
        <w:t xml:space="preserve">TABLE </w:t>
      </w:r>
      <w:r w:rsidR="00567C49">
        <w:rPr>
          <w:lang w:val="en-US"/>
        </w:rPr>
        <w:t>A</w:t>
      </w:r>
      <w:r w:rsidRPr="00AF5796">
        <w:rPr>
          <w:lang w:val="en-US"/>
        </w:rPr>
        <w:t>2.3</w:t>
      </w:r>
    </w:p>
    <w:tbl>
      <w:tblPr>
        <w:tblW w:w="7371" w:type="dxa"/>
        <w:jc w:val="center"/>
        <w:tblLook w:val="04A0" w:firstRow="1" w:lastRow="0" w:firstColumn="1" w:lastColumn="0" w:noHBand="0" w:noVBand="1"/>
      </w:tblPr>
      <w:tblGrid>
        <w:gridCol w:w="3836"/>
        <w:gridCol w:w="883"/>
        <w:gridCol w:w="884"/>
        <w:gridCol w:w="884"/>
        <w:gridCol w:w="884"/>
      </w:tblGrid>
      <w:tr w:rsidR="005D2DA7" w:rsidRPr="00AF5796" w:rsidTr="00D01ED3">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D2DA7" w:rsidRPr="00AF5796" w:rsidRDefault="005D2DA7" w:rsidP="0080570E">
            <w:pPr>
              <w:pStyle w:val="Tablehead"/>
              <w:rPr>
                <w:lang w:val="en-US"/>
              </w:rPr>
            </w:pPr>
            <w:r w:rsidRPr="00AF5796">
              <w:rPr>
                <w:lang w:val="en-US"/>
              </w:rPr>
              <w:t>Years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2013</w:t>
            </w:r>
          </w:p>
        </w:tc>
      </w:tr>
      <w:tr w:rsidR="005D2DA7" w:rsidRPr="00AF5796" w:rsidTr="00D01ED3">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D2DA7" w:rsidRPr="00AF5796" w:rsidRDefault="005D2DA7" w:rsidP="0080570E">
            <w:pPr>
              <w:pStyle w:val="Tabletext"/>
              <w:rPr>
                <w:lang w:val="en-US"/>
              </w:rPr>
            </w:pPr>
            <w:r w:rsidRPr="00AF5796">
              <w:rPr>
                <w:lang w:val="en-US"/>
              </w:rPr>
              <w:t>Mobile traffic in China(TB/Month)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32628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44837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62778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96369</w:t>
            </w:r>
          </w:p>
        </w:tc>
      </w:tr>
    </w:tbl>
    <w:p w:rsidR="005D2DA7" w:rsidRPr="00AF5796" w:rsidRDefault="005D2DA7" w:rsidP="006A70AF">
      <w:pPr>
        <w:pStyle w:val="Tablefin"/>
        <w:rPr>
          <w:lang w:val="en-US"/>
        </w:rPr>
      </w:pPr>
    </w:p>
    <w:p w:rsidR="005D2DA7" w:rsidRPr="00AF5796" w:rsidRDefault="005D2DA7" w:rsidP="003646A0">
      <w:pPr>
        <w:tabs>
          <w:tab w:val="left" w:pos="0"/>
        </w:tabs>
        <w:rPr>
          <w:lang w:val="en-US"/>
        </w:rPr>
      </w:pPr>
      <w:r w:rsidRPr="00AF5796">
        <w:rPr>
          <w:lang w:val="en-US"/>
        </w:rPr>
        <w:t>The growth rate of mobile traffic in China is estimated to be higher than the global average growth rate. It is foreseen that the mobile traffic will be 118EB per month in 2025 and 1187EB per month in</w:t>
      </w:r>
      <w:r w:rsidR="003646A0" w:rsidRPr="00AF5796">
        <w:rPr>
          <w:lang w:val="en-US"/>
        </w:rPr>
        <w:t> </w:t>
      </w:r>
      <w:r w:rsidRPr="00AF5796">
        <w:rPr>
          <w:lang w:val="en-US"/>
        </w:rPr>
        <w:t xml:space="preserve">2030 as depicted in </w:t>
      </w:r>
      <w:r w:rsidR="00934A49" w:rsidRPr="00AF5796">
        <w:rPr>
          <w:lang w:val="en-US"/>
        </w:rPr>
        <w:t xml:space="preserve">Fig. </w:t>
      </w:r>
      <w:r w:rsidR="00567C49">
        <w:rPr>
          <w:lang w:val="en-US"/>
        </w:rPr>
        <w:t>A</w:t>
      </w:r>
      <w:r w:rsidRPr="00AF5796">
        <w:rPr>
          <w:lang w:val="en-US"/>
        </w:rPr>
        <w:t xml:space="preserve">2.4. </w:t>
      </w:r>
    </w:p>
    <w:p w:rsidR="005D2DA7" w:rsidRPr="00AF5796" w:rsidRDefault="005D2DA7" w:rsidP="005D2DA7">
      <w:pPr>
        <w:tabs>
          <w:tab w:val="left" w:pos="0"/>
        </w:tabs>
        <w:rPr>
          <w:lang w:val="en-US"/>
        </w:rPr>
      </w:pPr>
      <w:r w:rsidRPr="00AF5796">
        <w:rPr>
          <w:lang w:val="en-US"/>
        </w:rPr>
        <w:t xml:space="preserve">In addition </w:t>
      </w:r>
      <w:r w:rsidR="00934A49" w:rsidRPr="00AF5796">
        <w:rPr>
          <w:lang w:val="en-US"/>
        </w:rPr>
        <w:t xml:space="preserve">Fig. </w:t>
      </w:r>
      <w:r w:rsidR="00567C49">
        <w:rPr>
          <w:lang w:val="en-US"/>
        </w:rPr>
        <w:t>A</w:t>
      </w:r>
      <w:r w:rsidRPr="00AF5796">
        <w:rPr>
          <w:lang w:val="en-US"/>
        </w:rPr>
        <w:t>2.5 provides estimations of mobile traffic from 2020-2030 with the M2M traffic.</w:t>
      </w:r>
    </w:p>
    <w:p w:rsidR="005D2DA7" w:rsidRPr="00AF5796" w:rsidRDefault="005D2DA7" w:rsidP="006A70AF">
      <w:pPr>
        <w:pStyle w:val="FigureNo"/>
        <w:rPr>
          <w:lang w:val="en-US"/>
        </w:rPr>
      </w:pPr>
      <w:r w:rsidRPr="00AF5796">
        <w:rPr>
          <w:lang w:val="en-US"/>
        </w:rPr>
        <w:lastRenderedPageBreak/>
        <w:t xml:space="preserve">Figure </w:t>
      </w:r>
      <w:r w:rsidR="00567C49">
        <w:rPr>
          <w:lang w:val="en-US"/>
        </w:rPr>
        <w:t>A</w:t>
      </w:r>
      <w:r w:rsidRPr="00AF5796">
        <w:rPr>
          <w:lang w:val="en-US"/>
        </w:rPr>
        <w:t xml:space="preserve">2.4 </w:t>
      </w:r>
    </w:p>
    <w:p w:rsidR="005D2DA7" w:rsidRPr="00AF5796" w:rsidRDefault="005D2DA7" w:rsidP="006A70AF">
      <w:pPr>
        <w:pStyle w:val="Figuretitle"/>
        <w:rPr>
          <w:lang w:val="en-US"/>
        </w:rPr>
      </w:pPr>
      <w:r w:rsidRPr="00AF5796">
        <w:rPr>
          <w:lang w:val="en-US"/>
        </w:rPr>
        <w:t xml:space="preserve">Estimation of mobile traffic in China in 2020-2030 </w:t>
      </w:r>
      <w:r w:rsidRPr="00AF5796">
        <w:rPr>
          <w:sz w:val="21"/>
          <w:lang w:val="en-US"/>
        </w:rPr>
        <w:t>(M2M traffic not included)</w:t>
      </w:r>
    </w:p>
    <w:p w:rsidR="005D2DA7" w:rsidRPr="00AF5796" w:rsidRDefault="005D2DA7" w:rsidP="005D2DA7">
      <w:pPr>
        <w:jc w:val="center"/>
        <w:rPr>
          <w:highlight w:val="yellow"/>
          <w:lang w:val="en-US"/>
        </w:rPr>
      </w:pPr>
      <w:r w:rsidRPr="00AF5796">
        <w:rPr>
          <w:noProof/>
          <w:lang w:val="en-US" w:eastAsia="zh-CN"/>
        </w:rPr>
        <w:drawing>
          <wp:inline distT="0" distB="0" distL="0" distR="0" wp14:anchorId="4FE622A5" wp14:editId="4ACBEB88">
            <wp:extent cx="5503545" cy="2691130"/>
            <wp:effectExtent l="0" t="0" r="0" b="0"/>
            <wp:docPr id="40"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D2DA7" w:rsidRPr="00AF5796" w:rsidRDefault="005D2DA7" w:rsidP="006A70AF">
      <w:pPr>
        <w:pStyle w:val="FigureNo"/>
        <w:rPr>
          <w:lang w:val="en-US"/>
        </w:rPr>
      </w:pPr>
      <w:r w:rsidRPr="00AF5796">
        <w:rPr>
          <w:lang w:val="en-US"/>
        </w:rPr>
        <w:t xml:space="preserve">FIGURE </w:t>
      </w:r>
      <w:r w:rsidR="00567C49">
        <w:rPr>
          <w:lang w:val="en-US"/>
        </w:rPr>
        <w:t>A</w:t>
      </w:r>
      <w:r w:rsidRPr="00AF5796">
        <w:rPr>
          <w:lang w:val="en-US"/>
        </w:rPr>
        <w:t xml:space="preserve">2.5 </w:t>
      </w:r>
    </w:p>
    <w:p w:rsidR="005D2DA7" w:rsidRPr="00AF5796" w:rsidRDefault="005D2DA7" w:rsidP="006A70AF">
      <w:pPr>
        <w:pStyle w:val="Figuretitle"/>
        <w:rPr>
          <w:lang w:val="en-US"/>
        </w:rPr>
      </w:pPr>
      <w:r w:rsidRPr="00AF5796">
        <w:rPr>
          <w:lang w:val="en-US"/>
        </w:rPr>
        <w:t>Estimation of mobile traffic in China in 2020-2030 (M2M traffic included)</w:t>
      </w:r>
    </w:p>
    <w:p w:rsidR="005D2DA7" w:rsidRPr="00AF5796" w:rsidRDefault="005D2DA7" w:rsidP="005D2DA7">
      <w:pPr>
        <w:jc w:val="center"/>
        <w:rPr>
          <w:lang w:val="en-US" w:eastAsia="zh-CN"/>
        </w:rPr>
      </w:pPr>
      <w:r w:rsidRPr="00AF5796">
        <w:rPr>
          <w:noProof/>
          <w:lang w:val="en-US" w:eastAsia="zh-CN"/>
        </w:rPr>
        <w:drawing>
          <wp:inline distT="0" distB="0" distL="0" distR="0" wp14:anchorId="0C17A736" wp14:editId="02767E30">
            <wp:extent cx="5288280" cy="2579370"/>
            <wp:effectExtent l="0" t="0" r="0" b="0"/>
            <wp:docPr id="41"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2DA7" w:rsidRPr="00AF5796" w:rsidRDefault="005D2DA7" w:rsidP="005D2DA7">
      <w:pPr>
        <w:rPr>
          <w:lang w:val="en-US"/>
        </w:rPr>
      </w:pPr>
      <w:r w:rsidRPr="00AF5796">
        <w:rPr>
          <w:lang w:val="en-US"/>
        </w:rPr>
        <w:t xml:space="preserve">The growth rate of mobile traffic (including M2M traffic) in China was estimated to be </w:t>
      </w:r>
      <w:r w:rsidR="00D127A5" w:rsidRPr="00AF5796">
        <w:rPr>
          <w:lang w:val="en-US"/>
        </w:rPr>
        <w:t>higher than the</w:t>
      </w:r>
      <w:r w:rsidRPr="00AF5796">
        <w:rPr>
          <w:lang w:val="en-US"/>
        </w:rPr>
        <w:t xml:space="preserve"> rate of global average. It was estimated that the mobile traffic will be 133 EB per month in 2025 and 1380 EB per month in 2030 as depicted in </w:t>
      </w:r>
      <w:r w:rsidR="00934A49" w:rsidRPr="00AF5796">
        <w:rPr>
          <w:lang w:val="en-US"/>
        </w:rPr>
        <w:t xml:space="preserve">Fig. </w:t>
      </w:r>
      <w:r w:rsidR="00567C49">
        <w:rPr>
          <w:lang w:val="en-US"/>
        </w:rPr>
        <w:t>A</w:t>
      </w:r>
      <w:r w:rsidRPr="00AF5796">
        <w:rPr>
          <w:lang w:val="en-US"/>
        </w:rPr>
        <w:t>2.5.</w:t>
      </w:r>
    </w:p>
    <w:p w:rsidR="005D2DA7" w:rsidRPr="00AF5796" w:rsidRDefault="005D2DA7" w:rsidP="005D2DA7">
      <w:pPr>
        <w:rPr>
          <w:lang w:val="en-US"/>
        </w:rPr>
      </w:pPr>
      <w:r w:rsidRPr="00AF5796">
        <w:rPr>
          <w:lang w:val="en-US"/>
        </w:rPr>
        <w:t xml:space="preserve">Similarly, </w:t>
      </w:r>
      <w:r w:rsidR="00934A49" w:rsidRPr="00AF5796">
        <w:rPr>
          <w:lang w:val="en-US"/>
        </w:rPr>
        <w:t xml:space="preserve">Fig. </w:t>
      </w:r>
      <w:r w:rsidR="00567C49">
        <w:rPr>
          <w:lang w:val="en-US"/>
        </w:rPr>
        <w:t>A</w:t>
      </w:r>
      <w:r w:rsidRPr="00AF5796">
        <w:rPr>
          <w:lang w:val="en-US"/>
        </w:rPr>
        <w:t>2.6 shows the Chinese case for the estimation of mobile traffic consumed per subscription per month using the same methodology as described above using Chinese mobile subscriptions and mobile traffic values in China without M2M.</w:t>
      </w:r>
    </w:p>
    <w:p w:rsidR="005D2DA7" w:rsidRPr="00AF5796" w:rsidRDefault="005D2DA7" w:rsidP="005D2DA7">
      <w:pPr>
        <w:pStyle w:val="FigureNo"/>
        <w:rPr>
          <w:lang w:val="en-US"/>
        </w:rPr>
      </w:pPr>
      <w:r w:rsidRPr="00AF5796">
        <w:rPr>
          <w:lang w:val="en-US"/>
        </w:rPr>
        <w:lastRenderedPageBreak/>
        <w:t xml:space="preserve">Figure </w:t>
      </w:r>
      <w:r w:rsidR="00567C49">
        <w:rPr>
          <w:lang w:val="en-US"/>
        </w:rPr>
        <w:t>A</w:t>
      </w:r>
      <w:r w:rsidRPr="00AF5796">
        <w:rPr>
          <w:lang w:val="en-US"/>
        </w:rPr>
        <w:t>2.6</w:t>
      </w:r>
    </w:p>
    <w:p w:rsidR="005D2DA7" w:rsidRPr="00AF5796" w:rsidRDefault="005D2DA7" w:rsidP="00E33BF3">
      <w:pPr>
        <w:pStyle w:val="Figuretitle"/>
        <w:rPr>
          <w:szCs w:val="18"/>
          <w:lang w:val="en-US"/>
        </w:rPr>
      </w:pPr>
      <w:r w:rsidRPr="00AF5796">
        <w:rPr>
          <w:lang w:val="en-US"/>
        </w:rPr>
        <w:t>Estimation</w:t>
      </w:r>
      <w:r w:rsidRPr="00AF5796">
        <w:rPr>
          <w:rFonts w:eastAsia="Calibri"/>
          <w:lang w:val="en-US"/>
        </w:rPr>
        <w:t xml:space="preserve"> of mobile traffic consumed per subscriptions per month in China in 2020</w:t>
      </w:r>
      <w:r w:rsidRPr="00AF5796">
        <w:rPr>
          <w:lang w:val="en-US"/>
        </w:rPr>
        <w:t>-2030</w:t>
      </w:r>
      <w:r w:rsidR="00E33BF3" w:rsidRPr="00AF5796">
        <w:rPr>
          <w:lang w:val="en-US"/>
        </w:rPr>
        <w:br/>
      </w:r>
      <w:r w:rsidRPr="00AF5796">
        <w:rPr>
          <w:rFonts w:eastAsia="Calibri"/>
          <w:b w:val="0"/>
          <w:szCs w:val="18"/>
          <w:lang w:val="en-US"/>
        </w:rPr>
        <w:t>(M2M not included)</w:t>
      </w:r>
    </w:p>
    <w:p w:rsidR="005D2DA7" w:rsidRPr="00AF5796" w:rsidRDefault="005D2DA7" w:rsidP="004D731A">
      <w:pPr>
        <w:pStyle w:val="Figure"/>
        <w:rPr>
          <w:lang w:val="en-US"/>
        </w:rPr>
      </w:pPr>
      <w:r w:rsidRPr="00AF5796">
        <w:rPr>
          <w:noProof/>
          <w:lang w:val="en-US" w:eastAsia="zh-CN"/>
        </w:rPr>
        <w:drawing>
          <wp:inline distT="0" distB="0" distL="0" distR="0" wp14:anchorId="16D3BA6D" wp14:editId="53A3A9E9">
            <wp:extent cx="5465553" cy="2613804"/>
            <wp:effectExtent l="19050" t="0" r="20847" b="0"/>
            <wp:docPr id="42"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2DA7" w:rsidRPr="00AF5796" w:rsidRDefault="005D2DA7" w:rsidP="00567C49">
      <w:pPr>
        <w:spacing w:before="0"/>
        <w:rPr>
          <w:lang w:val="en-US"/>
        </w:rPr>
      </w:pPr>
      <w:r w:rsidRPr="00AF5796">
        <w:rPr>
          <w:lang w:val="en-US"/>
        </w:rPr>
        <w:t xml:space="preserve">This </w:t>
      </w:r>
      <w:r w:rsidR="00567C49">
        <w:rPr>
          <w:lang w:val="en-US"/>
        </w:rPr>
        <w:t>F</w:t>
      </w:r>
      <w:r w:rsidRPr="00AF5796">
        <w:rPr>
          <w:lang w:val="en-US"/>
        </w:rPr>
        <w:t xml:space="preserve">igure shows that mobile data traffic consumed per subscription per month in China is estimated to reach 42.8 GB in 2025 and 390.7 GB in 2030. </w:t>
      </w:r>
    </w:p>
    <w:p w:rsidR="005D2DA7" w:rsidRPr="00AF5796" w:rsidRDefault="005D2DA7" w:rsidP="00C528FB">
      <w:pPr>
        <w:pStyle w:val="Heading3"/>
        <w:rPr>
          <w:rFonts w:ascii="Calibri" w:eastAsia="Calibri" w:hAnsi="Calibri"/>
          <w:sz w:val="22"/>
          <w:lang w:val="en-US"/>
        </w:rPr>
      </w:pPr>
      <w:r w:rsidRPr="00AF5796">
        <w:rPr>
          <w:lang w:val="en-US"/>
        </w:rPr>
        <w:t>A2.1.5</w:t>
      </w:r>
      <w:r w:rsidRPr="00AF5796">
        <w:rPr>
          <w:rFonts w:eastAsia="Calibri"/>
          <w:lang w:val="en-US"/>
        </w:rPr>
        <w:tab/>
        <w:t>Mobile traffic estimation in large cities or hot-spot areas</w:t>
      </w:r>
    </w:p>
    <w:p w:rsidR="005D2DA7" w:rsidRPr="00AF5796" w:rsidRDefault="005D2DA7" w:rsidP="005D2DA7">
      <w:pPr>
        <w:tabs>
          <w:tab w:val="left" w:pos="284"/>
        </w:tabs>
        <w:rPr>
          <w:lang w:val="en-US"/>
        </w:rPr>
      </w:pPr>
      <w:r w:rsidRPr="00AF5796">
        <w:rPr>
          <w:lang w:val="en-US"/>
        </w:rPr>
        <w:t xml:space="preserve">Concerning mobile traffic in big cities, estimation method provided by China was based on historical statistics coming from Chinese operators’ networks in several typical big cities, such as Shanghai and Beijing. The exponential function was selected as the fitting curve to get the estimated result. Statistics of Shanghai are given as an example, as seen in Table </w:t>
      </w:r>
      <w:r w:rsidR="00567C49">
        <w:rPr>
          <w:lang w:val="en-US"/>
        </w:rPr>
        <w:t>A</w:t>
      </w:r>
      <w:r w:rsidRPr="00AF5796">
        <w:rPr>
          <w:lang w:val="en-US"/>
        </w:rPr>
        <w:t>2.4.</w:t>
      </w:r>
    </w:p>
    <w:p w:rsidR="005D2DA7" w:rsidRPr="00AF5796" w:rsidRDefault="005D2DA7" w:rsidP="005D2DA7">
      <w:pPr>
        <w:pStyle w:val="TableNo"/>
        <w:spacing w:before="240"/>
        <w:rPr>
          <w:lang w:val="en-US"/>
        </w:rPr>
      </w:pPr>
      <w:r w:rsidRPr="00AF5796">
        <w:rPr>
          <w:lang w:val="en-US"/>
        </w:rPr>
        <w:t xml:space="preserve">TABLE </w:t>
      </w:r>
      <w:r w:rsidR="00567C49">
        <w:rPr>
          <w:lang w:val="en-US"/>
        </w:rPr>
        <w:t>A</w:t>
      </w:r>
      <w:r w:rsidRPr="00AF5796">
        <w:rPr>
          <w:lang w:val="en-US"/>
        </w:rPr>
        <w:t>2.4</w:t>
      </w:r>
    </w:p>
    <w:tbl>
      <w:tblPr>
        <w:tblW w:w="8505" w:type="dxa"/>
        <w:jc w:val="center"/>
        <w:tblLook w:val="04A0" w:firstRow="1" w:lastRow="0" w:firstColumn="1" w:lastColumn="0" w:noHBand="0" w:noVBand="1"/>
      </w:tblPr>
      <w:tblGrid>
        <w:gridCol w:w="4142"/>
        <w:gridCol w:w="711"/>
        <w:gridCol w:w="711"/>
        <w:gridCol w:w="821"/>
        <w:gridCol w:w="821"/>
        <w:gridCol w:w="821"/>
        <w:gridCol w:w="821"/>
      </w:tblGrid>
      <w:tr w:rsidR="005D2DA7" w:rsidRPr="00AF5796" w:rsidTr="00C528FB">
        <w:trPr>
          <w:trHeight w:val="270"/>
          <w:jc w:val="center"/>
        </w:trPr>
        <w:tc>
          <w:tcPr>
            <w:tcW w:w="4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2DA7" w:rsidRPr="00AF5796" w:rsidRDefault="005D2DA7" w:rsidP="00C528FB">
            <w:pPr>
              <w:pStyle w:val="Tablehead"/>
              <w:rPr>
                <w:lang w:val="en-US"/>
              </w:rPr>
            </w:pPr>
            <w:r w:rsidRPr="00AF5796">
              <w:rPr>
                <w:lang w:val="en-US"/>
              </w:rPr>
              <w:t>Year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2013</w:t>
            </w:r>
          </w:p>
        </w:tc>
      </w:tr>
      <w:tr w:rsidR="005D2DA7" w:rsidRPr="00AF5796" w:rsidTr="003646A0">
        <w:trPr>
          <w:trHeight w:val="300"/>
          <w:jc w:val="center"/>
        </w:trPr>
        <w:tc>
          <w:tcPr>
            <w:tcW w:w="4142" w:type="dxa"/>
            <w:tcBorders>
              <w:top w:val="nil"/>
              <w:left w:val="single" w:sz="4" w:space="0" w:color="auto"/>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left"/>
              <w:rPr>
                <w:lang w:val="en-US"/>
              </w:rPr>
            </w:pPr>
            <w:r w:rsidRPr="00AF5796">
              <w:rPr>
                <w:lang w:val="en-US"/>
              </w:rPr>
              <w:t xml:space="preserve">Mobile traffic in Shanghai, </w:t>
            </w:r>
            <w:r w:rsidR="00C528FB" w:rsidRPr="00AF5796">
              <w:rPr>
                <w:lang w:val="en-US"/>
              </w:rPr>
              <w:t>C</w:t>
            </w:r>
            <w:r w:rsidRPr="00AF5796">
              <w:rPr>
                <w:lang w:val="en-US"/>
              </w:rPr>
              <w:t>hina</w:t>
            </w:r>
            <w:r w:rsidR="003646A0" w:rsidRPr="00AF5796">
              <w:rPr>
                <w:lang w:val="en-US"/>
              </w:rPr>
              <w:t xml:space="preserve"> </w:t>
            </w:r>
            <w:r w:rsidRPr="00AF5796">
              <w:rPr>
                <w:lang w:val="en-US"/>
              </w:rPr>
              <w:t>(TB/month)</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229.1</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608.8</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1216.5</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1785.6</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2794.0</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3393.2</w:t>
            </w:r>
          </w:p>
        </w:tc>
      </w:tr>
    </w:tbl>
    <w:p w:rsidR="005D2DA7" w:rsidRPr="00AF5796" w:rsidRDefault="005D2DA7" w:rsidP="00C528FB">
      <w:pPr>
        <w:pStyle w:val="Tablefin"/>
        <w:rPr>
          <w:lang w:val="en-US"/>
        </w:rPr>
      </w:pPr>
    </w:p>
    <w:p w:rsidR="005D2DA7" w:rsidRPr="00AF5796" w:rsidRDefault="005D2DA7" w:rsidP="005D2DA7">
      <w:pPr>
        <w:pStyle w:val="Headingb"/>
        <w:spacing w:before="0"/>
        <w:rPr>
          <w:lang w:val="en-US"/>
        </w:rPr>
      </w:pPr>
      <w:r w:rsidRPr="00AF5796">
        <w:rPr>
          <w:lang w:val="en-US"/>
        </w:rPr>
        <w:t xml:space="preserve">Mobile traffic in hot-spot areas: </w:t>
      </w:r>
    </w:p>
    <w:p w:rsidR="005D2DA7" w:rsidRPr="00AF5796" w:rsidRDefault="00C528FB" w:rsidP="00C528FB">
      <w:pPr>
        <w:ind w:left="794" w:hanging="794"/>
        <w:rPr>
          <w:rFonts w:ascii="Calibri" w:eastAsia="Calibri" w:hAnsi="Calibri"/>
          <w:lang w:val="en-US"/>
        </w:rPr>
      </w:pPr>
      <w:r w:rsidRPr="00AF5796">
        <w:rPr>
          <w:rFonts w:eastAsia="Calibri"/>
          <w:lang w:val="en-US"/>
        </w:rPr>
        <w:t>1)</w:t>
      </w:r>
      <w:r w:rsidRPr="00AF5796">
        <w:rPr>
          <w:rFonts w:eastAsia="Calibri"/>
          <w:lang w:val="en-US"/>
        </w:rPr>
        <w:tab/>
      </w:r>
      <w:r w:rsidR="005D2DA7" w:rsidRPr="00AF5796">
        <w:rPr>
          <w:rFonts w:eastAsia="Calibri"/>
          <w:lang w:val="en-US"/>
        </w:rPr>
        <w:t>Statistical data collection on typical hotspots like Xidan</w:t>
      </w:r>
      <w:r w:rsidR="005D2DA7" w:rsidRPr="00AF5796">
        <w:rPr>
          <w:rStyle w:val="FootnoteReference"/>
          <w:rFonts w:eastAsia="Calibri"/>
          <w:szCs w:val="24"/>
          <w:lang w:val="en-US"/>
        </w:rPr>
        <w:footnoteReference w:id="36"/>
      </w:r>
      <w:r w:rsidR="005D2DA7" w:rsidRPr="00AF5796">
        <w:rPr>
          <w:rFonts w:eastAsia="Calibri"/>
          <w:lang w:val="en-US"/>
        </w:rPr>
        <w:t xml:space="preserve"> Area in Beijing, historical data provided by current networks of Chinese operators.</w:t>
      </w:r>
    </w:p>
    <w:p w:rsidR="005D2DA7" w:rsidRPr="00AF5796" w:rsidRDefault="00C528FB" w:rsidP="00C528FB">
      <w:pPr>
        <w:ind w:left="794" w:hanging="794"/>
        <w:rPr>
          <w:rFonts w:ascii="Calibri" w:eastAsia="Calibri" w:hAnsi="Calibri"/>
          <w:lang w:val="en-US"/>
        </w:rPr>
      </w:pPr>
      <w:r w:rsidRPr="00AF5796">
        <w:rPr>
          <w:rFonts w:eastAsia="Calibri"/>
          <w:lang w:val="en-US"/>
        </w:rPr>
        <w:t>2)</w:t>
      </w:r>
      <w:r w:rsidRPr="00AF5796">
        <w:rPr>
          <w:rFonts w:eastAsia="Calibri"/>
          <w:lang w:val="en-US"/>
        </w:rPr>
        <w:tab/>
      </w:r>
      <w:r w:rsidR="005D2DA7" w:rsidRPr="00AF5796">
        <w:rPr>
          <w:rFonts w:eastAsia="Calibri"/>
          <w:lang w:val="en-US"/>
        </w:rPr>
        <w:t xml:space="preserve">Estimate the subscriber density in Xidan area from 2020 to 2030 with assumption on the </w:t>
      </w:r>
      <w:hyperlink r:id="rId46" w:history="1">
        <w:r w:rsidR="005D2DA7" w:rsidRPr="00AF5796">
          <w:rPr>
            <w:rFonts w:eastAsia="Calibri"/>
            <w:lang w:val="en-US"/>
          </w:rPr>
          <w:t>annual growth rate</w:t>
        </w:r>
      </w:hyperlink>
      <w:r w:rsidR="005D2DA7" w:rsidRPr="00AF5796">
        <w:rPr>
          <w:rFonts w:eastAsia="Calibri"/>
          <w:lang w:val="en-US"/>
        </w:rPr>
        <w:t>.</w:t>
      </w:r>
    </w:p>
    <w:p w:rsidR="005D2DA7" w:rsidRPr="00AF5796" w:rsidRDefault="00C528FB" w:rsidP="00567C49">
      <w:pPr>
        <w:ind w:left="794" w:hanging="794"/>
        <w:rPr>
          <w:rFonts w:ascii="Calibri" w:eastAsia="Calibri" w:hAnsi="Calibri"/>
          <w:lang w:val="en-US"/>
        </w:rPr>
      </w:pPr>
      <w:r w:rsidRPr="00AF5796">
        <w:rPr>
          <w:rFonts w:eastAsia="Calibri"/>
          <w:lang w:val="en-US"/>
        </w:rPr>
        <w:t>3)</w:t>
      </w:r>
      <w:r w:rsidRPr="00AF5796">
        <w:rPr>
          <w:rFonts w:eastAsia="Calibri"/>
          <w:lang w:val="en-US"/>
        </w:rPr>
        <w:tab/>
      </w:r>
      <w:r w:rsidR="005D2DA7" w:rsidRPr="00AF5796">
        <w:rPr>
          <w:rFonts w:eastAsia="Calibri"/>
          <w:lang w:val="en-US"/>
        </w:rPr>
        <w:t xml:space="preserve">Adopt the estimated result of mobile traffic consumed per subscriptions per month in China (see </w:t>
      </w:r>
      <w:r w:rsidR="00567C49">
        <w:rPr>
          <w:rFonts w:eastAsia="Calibri"/>
          <w:lang w:val="en-US"/>
        </w:rPr>
        <w:t>§</w:t>
      </w:r>
      <w:r w:rsidR="005D2DA7" w:rsidRPr="00AF5796">
        <w:rPr>
          <w:rFonts w:eastAsia="Calibri"/>
          <w:lang w:val="en-US"/>
        </w:rPr>
        <w:t xml:space="preserve"> 4.</w:t>
      </w:r>
      <w:r w:rsidR="005D2DA7" w:rsidRPr="00AF5796">
        <w:rPr>
          <w:lang w:val="en-US"/>
        </w:rPr>
        <w:t>1</w:t>
      </w:r>
      <w:r w:rsidR="005D2DA7" w:rsidRPr="00AF5796">
        <w:rPr>
          <w:rFonts w:eastAsia="Calibri"/>
          <w:lang w:val="en-US"/>
        </w:rPr>
        <w:t>).</w:t>
      </w:r>
    </w:p>
    <w:p w:rsidR="005D2DA7" w:rsidRPr="00AF5796" w:rsidRDefault="005D2DA7" w:rsidP="005D2DA7">
      <w:pPr>
        <w:tabs>
          <w:tab w:val="left" w:pos="284"/>
        </w:tabs>
        <w:rPr>
          <w:lang w:val="en-US"/>
        </w:rPr>
      </w:pPr>
      <w:r w:rsidRPr="00AF5796">
        <w:rPr>
          <w:lang w:val="en-US"/>
        </w:rPr>
        <w:t>Estimate the mobile traffic in Xidan area with some assumptions of BHA (busy hour aggregating ratio) and other parameters (based on the experience of 2G and 3G network in China).</w:t>
      </w:r>
    </w:p>
    <w:p w:rsidR="005D2DA7" w:rsidRPr="00AF5796" w:rsidRDefault="005D2DA7" w:rsidP="002561B9">
      <w:pPr>
        <w:rPr>
          <w:lang w:val="en-US"/>
        </w:rPr>
      </w:pPr>
      <w:r w:rsidRPr="00AF5796">
        <w:rPr>
          <w:lang w:val="en-US"/>
        </w:rPr>
        <w:lastRenderedPageBreak/>
        <w:t xml:space="preserve">It was estimated that </w:t>
      </w:r>
      <w:r w:rsidR="00992CB1" w:rsidRPr="00AF5796">
        <w:rPr>
          <w:lang w:val="en-US"/>
        </w:rPr>
        <w:t>with</w:t>
      </w:r>
      <w:r w:rsidR="002561B9" w:rsidRPr="00AF5796">
        <w:rPr>
          <w:lang w:val="en-US"/>
        </w:rPr>
        <w:t xml:space="preserve"> </w:t>
      </w:r>
      <w:r w:rsidRPr="00AF5796">
        <w:rPr>
          <w:lang w:val="en-US"/>
        </w:rPr>
        <w:t xml:space="preserve">the mobile traffic of typical large cities like Shanghai, China will increase 125 times from year 2020 to 2030. </w:t>
      </w:r>
      <w:r w:rsidR="002561B9" w:rsidRPr="00AF5796">
        <w:rPr>
          <w:lang w:val="en-US"/>
        </w:rPr>
        <w:t>With t</w:t>
      </w:r>
      <w:r w:rsidRPr="00AF5796">
        <w:rPr>
          <w:lang w:val="en-US"/>
        </w:rPr>
        <w:t xml:space="preserve">he mobile traffic consumed within typical hot-spot area traffic like Xidan, Beijing will increase 154 times from year 2020 to 2030, as depicted in </w:t>
      </w:r>
      <w:r w:rsidR="00207607" w:rsidRPr="00AF5796">
        <w:rPr>
          <w:lang w:val="en-US"/>
        </w:rPr>
        <w:t>Fig.</w:t>
      </w:r>
      <w:r w:rsidR="002561B9" w:rsidRPr="00AF5796">
        <w:rPr>
          <w:lang w:val="en-US"/>
        </w:rPr>
        <w:t> </w:t>
      </w:r>
      <w:r w:rsidR="00567C49">
        <w:rPr>
          <w:lang w:val="en-US"/>
        </w:rPr>
        <w:t>A</w:t>
      </w:r>
      <w:r w:rsidRPr="00AF5796">
        <w:rPr>
          <w:lang w:val="en-US"/>
        </w:rPr>
        <w:t>2.7.</w:t>
      </w:r>
    </w:p>
    <w:p w:rsidR="005D2DA7" w:rsidRPr="00AF5796" w:rsidRDefault="005D2DA7" w:rsidP="005D2DA7">
      <w:pPr>
        <w:pStyle w:val="FigureNo"/>
        <w:rPr>
          <w:rFonts w:ascii="Calibri" w:eastAsia="Calibri" w:hAnsi="Calibri"/>
          <w:sz w:val="22"/>
          <w:lang w:val="en-US"/>
        </w:rPr>
      </w:pPr>
      <w:r w:rsidRPr="00AF5796">
        <w:rPr>
          <w:rFonts w:eastAsia="Calibri"/>
          <w:lang w:val="en-US"/>
        </w:rPr>
        <w:t>Figure</w:t>
      </w:r>
      <w:r w:rsidRPr="00AF5796">
        <w:rPr>
          <w:lang w:val="en-US"/>
        </w:rPr>
        <w:t xml:space="preserve"> </w:t>
      </w:r>
      <w:r w:rsidR="00567C49">
        <w:rPr>
          <w:lang w:val="en-US"/>
        </w:rPr>
        <w:t>A</w:t>
      </w:r>
      <w:r w:rsidRPr="00AF5796">
        <w:rPr>
          <w:lang w:val="en-US"/>
        </w:rPr>
        <w:t>2.7</w:t>
      </w:r>
    </w:p>
    <w:p w:rsidR="005D2DA7" w:rsidRPr="00AF5796" w:rsidRDefault="005D2DA7" w:rsidP="00F36D8D">
      <w:pPr>
        <w:pStyle w:val="Figuretitle"/>
        <w:rPr>
          <w:rFonts w:eastAsia="Calibri"/>
          <w:lang w:val="en-US"/>
        </w:rPr>
      </w:pPr>
      <w:r w:rsidRPr="00AF5796">
        <w:rPr>
          <w:rFonts w:eastAsia="Calibri"/>
          <w:lang w:val="en-US"/>
        </w:rPr>
        <w:t>2020-2030 mobile traffic growth factor comparison in typical city and district</w:t>
      </w:r>
    </w:p>
    <w:p w:rsidR="005D2DA7" w:rsidRPr="00AF5796" w:rsidRDefault="005D2DA7" w:rsidP="005D2DA7">
      <w:pPr>
        <w:jc w:val="center"/>
        <w:rPr>
          <w:rFonts w:ascii="Times New Roman Bold" w:eastAsia="Calibri" w:hAnsi="Times New Roman Bold"/>
          <w:b/>
          <w:sz w:val="20"/>
          <w:szCs w:val="22"/>
          <w:lang w:val="en-US"/>
        </w:rPr>
      </w:pPr>
      <w:r w:rsidRPr="00AF5796">
        <w:rPr>
          <w:rFonts w:ascii="Times New Roman Bold" w:eastAsia="Calibri" w:hAnsi="Times New Roman Bold"/>
          <w:b/>
          <w:noProof/>
          <w:sz w:val="20"/>
          <w:szCs w:val="22"/>
          <w:lang w:val="en-US" w:eastAsia="zh-CN"/>
        </w:rPr>
        <w:drawing>
          <wp:inline distT="0" distB="0" distL="0" distR="0" wp14:anchorId="48BA36F8" wp14:editId="2ADBB471">
            <wp:extent cx="5375082" cy="2568272"/>
            <wp:effectExtent l="0" t="0" r="16510" b="22860"/>
            <wp:docPr id="65"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2DA7" w:rsidRPr="00AF5796" w:rsidRDefault="005D2DA7" w:rsidP="00FF1466">
      <w:pPr>
        <w:pStyle w:val="Heading2"/>
        <w:rPr>
          <w:lang w:val="en-US"/>
        </w:rPr>
      </w:pPr>
      <w:bookmarkStart w:id="57" w:name="_Toc427932312"/>
      <w:bookmarkStart w:id="58" w:name="_Toc427935123"/>
      <w:r w:rsidRPr="00AF5796">
        <w:rPr>
          <w:lang w:val="en-US"/>
        </w:rPr>
        <w:t>A2.2</w:t>
      </w:r>
      <w:r w:rsidRPr="00AF5796">
        <w:rPr>
          <w:lang w:val="en-US"/>
        </w:rPr>
        <w:tab/>
        <w:t>Republic of Korea</w:t>
      </w:r>
      <w:bookmarkEnd w:id="57"/>
      <w:bookmarkEnd w:id="58"/>
    </w:p>
    <w:p w:rsidR="005D2DA7" w:rsidRPr="00AF5796" w:rsidRDefault="005D2DA7" w:rsidP="005D2DA7">
      <w:pPr>
        <w:pStyle w:val="Heading3"/>
        <w:rPr>
          <w:lang w:val="en-US" w:eastAsia="ko-KR"/>
        </w:rPr>
      </w:pPr>
      <w:r w:rsidRPr="00AF5796">
        <w:rPr>
          <w:lang w:val="en-US" w:eastAsia="ko-KR"/>
        </w:rPr>
        <w:t>A2.2.1</w:t>
      </w:r>
      <w:r w:rsidRPr="00AF5796">
        <w:rPr>
          <w:lang w:val="en-US" w:eastAsia="ko-KR"/>
        </w:rPr>
        <w:tab/>
        <w:t>Impact of IMT-Advanced on traffic growth</w:t>
      </w:r>
    </w:p>
    <w:p w:rsidR="005D2DA7" w:rsidRPr="00AF5796" w:rsidRDefault="005D2DA7" w:rsidP="005D2DA7">
      <w:pPr>
        <w:rPr>
          <w:lang w:val="en-US" w:eastAsia="ko-KR"/>
        </w:rPr>
      </w:pPr>
      <w:r w:rsidRPr="00AF5796">
        <w:rPr>
          <w:lang w:val="en-US" w:eastAsia="ko-KR"/>
        </w:rPr>
        <w:t xml:space="preserve">In recent years, mobile markets have become highly competitive and subscribers expect a high quality user experience, as well as continuous enhancements to their services. Mobile network capabilities are the key enabler to support the required factors such as user experience and the increase in mobile data traffic. This section provides an overview of the present mobile market and its statistical data such as subscriptions and traffic by deployment of IMT-Advanced networks. </w:t>
      </w:r>
    </w:p>
    <w:p w:rsidR="005D2DA7" w:rsidRPr="00AF5796" w:rsidRDefault="005D2DA7" w:rsidP="005D2DA7">
      <w:pPr>
        <w:rPr>
          <w:lang w:val="en-US" w:eastAsia="ko-KR"/>
        </w:rPr>
      </w:pPr>
      <w:r w:rsidRPr="00AF5796">
        <w:rPr>
          <w:lang w:val="en-US" w:eastAsia="ko-KR"/>
        </w:rPr>
        <w:t>Since ITU-R approved two technologies, LTE-Advanced and Wireless MAN-Advanced, as IMT</w:t>
      </w:r>
      <w:r w:rsidRPr="00AF5796">
        <w:rPr>
          <w:lang w:val="en-US" w:eastAsia="ko-KR"/>
        </w:rPr>
        <w:noBreakHyphen/>
        <w:t xml:space="preserve">Advanced technologies in 2012, mobile operators have been accelerating the deployment of LTE and LTE-Advanced networks to fulfill the rapidly growing demands by their customers for mobile data services. In general, IMT-Advanced connections today are generated by smart devices supporting a higher average data usage. Moreover, higher data rates encourage the adoption and usage of wide bandwidth applications, such that smart devices over IMT-Advanced networks are likely to generate nearly three times more traffic than the same model smart devices over IMT-2000 networks as explained in the following sub sections. </w:t>
      </w:r>
    </w:p>
    <w:p w:rsidR="005D2DA7" w:rsidRPr="00AF5796" w:rsidRDefault="005D2DA7" w:rsidP="005D2DA7">
      <w:pPr>
        <w:rPr>
          <w:lang w:val="en-US" w:eastAsia="ko-KR"/>
        </w:rPr>
      </w:pPr>
      <w:r w:rsidRPr="00AF5796">
        <w:rPr>
          <w:lang w:val="en-US" w:eastAsia="ko-KR"/>
        </w:rPr>
        <w:t>Likewise, the increase in mobile data traffic and in the connected number of devices shows a steady growth and is now challenging the capacity of existing IMT networks. With respect to the trends of mobile market caused by IMT-Advanced networks, it is important to take into account the impact of future IMT technologies before estimating the IMT traffic in the future. For instance, the following sub sections show the mobile trends based on the real and historical data in one country.</w:t>
      </w:r>
    </w:p>
    <w:p w:rsidR="005D2DA7" w:rsidRPr="00AF5796" w:rsidRDefault="005D2DA7" w:rsidP="005D2DA7">
      <w:pPr>
        <w:pStyle w:val="Heading3"/>
        <w:rPr>
          <w:lang w:val="en-US" w:eastAsia="ko-KR"/>
        </w:rPr>
      </w:pPr>
      <w:r w:rsidRPr="00AF5796">
        <w:rPr>
          <w:lang w:val="en-US" w:eastAsia="ko-KR"/>
        </w:rPr>
        <w:lastRenderedPageBreak/>
        <w:t>A2.2.2</w:t>
      </w:r>
      <w:r w:rsidRPr="00AF5796">
        <w:rPr>
          <w:lang w:val="en-US" w:eastAsia="ko-KR"/>
        </w:rPr>
        <w:tab/>
        <w:t>Mobile subscriptions by technologies</w:t>
      </w:r>
    </w:p>
    <w:p w:rsidR="005D2DA7" w:rsidRPr="00AF5796" w:rsidRDefault="005D2DA7" w:rsidP="005D2DA7">
      <w:pPr>
        <w:rPr>
          <w:lang w:val="en-US" w:eastAsia="ko-KR"/>
        </w:rPr>
      </w:pPr>
      <w:r w:rsidRPr="00AF5796">
        <w:rPr>
          <w:lang w:val="en-US" w:eastAsia="ko-KR"/>
        </w:rPr>
        <w:t xml:space="preserve">Figure </w:t>
      </w:r>
      <w:r w:rsidR="00567C49">
        <w:rPr>
          <w:lang w:val="en-US" w:eastAsia="ko-KR"/>
        </w:rPr>
        <w:t>A</w:t>
      </w:r>
      <w:r w:rsidRPr="00AF5796">
        <w:rPr>
          <w:lang w:val="en-US" w:eastAsia="ko-KR"/>
        </w:rPr>
        <w:t>2.8 shows the accumulated mobile subscription data by deployed network systems from 2009 to present (as of Oct. 2014) in Korea</w:t>
      </w:r>
      <w:r w:rsidRPr="00AF5796">
        <w:rPr>
          <w:rStyle w:val="FootnoteReference"/>
          <w:lang w:val="en-US" w:eastAsia="ko-KR"/>
        </w:rPr>
        <w:footnoteReference w:id="37"/>
      </w:r>
      <w:r w:rsidRPr="00AF5796">
        <w:rPr>
          <w:lang w:val="en-US" w:eastAsia="ko-KR"/>
        </w:rPr>
        <w:t xml:space="preserve">. </w:t>
      </w:r>
      <w:r w:rsidRPr="00AF5796">
        <w:rPr>
          <w:lang w:val="en-US"/>
        </w:rPr>
        <w:t xml:space="preserve">Total mobile subscriptions in 2014 </w:t>
      </w:r>
      <w:r w:rsidRPr="00AF5796">
        <w:rPr>
          <w:lang w:val="en-US" w:eastAsia="ko-KR"/>
        </w:rPr>
        <w:t xml:space="preserve">are </w:t>
      </w:r>
      <w:r w:rsidRPr="00AF5796">
        <w:rPr>
          <w:lang w:val="en-US"/>
        </w:rPr>
        <w:t>around</w:t>
      </w:r>
      <w:r w:rsidRPr="00AF5796">
        <w:rPr>
          <w:lang w:val="en-US" w:eastAsia="ko-KR"/>
        </w:rPr>
        <w:t xml:space="preserve"> 57 m</w:t>
      </w:r>
      <w:r w:rsidRPr="00AF5796">
        <w:rPr>
          <w:lang w:val="en-US"/>
        </w:rPr>
        <w:t>illion</w:t>
      </w:r>
      <w:r w:rsidRPr="00AF5796">
        <w:rPr>
          <w:lang w:val="en-US" w:eastAsia="ko-KR"/>
        </w:rPr>
        <w:t xml:space="preserve"> so that the </w:t>
      </w:r>
      <w:r w:rsidRPr="00AF5796">
        <w:rPr>
          <w:lang w:val="en-US"/>
        </w:rPr>
        <w:t xml:space="preserve">mobile penetration reached </w:t>
      </w:r>
      <w:r w:rsidRPr="00AF5796">
        <w:rPr>
          <w:lang w:val="en-US" w:eastAsia="ko-KR"/>
        </w:rPr>
        <w:t>116</w:t>
      </w:r>
      <w:r w:rsidRPr="00AF5796">
        <w:rPr>
          <w:lang w:val="en-US"/>
        </w:rPr>
        <w:t xml:space="preserve"> percent in 2014.</w:t>
      </w:r>
    </w:p>
    <w:p w:rsidR="005D2DA7" w:rsidRPr="00AF5796" w:rsidRDefault="005D2DA7" w:rsidP="005D2DA7">
      <w:pPr>
        <w:pStyle w:val="FigureNo"/>
        <w:rPr>
          <w:lang w:val="en-US" w:eastAsia="ko-KR"/>
        </w:rPr>
      </w:pPr>
      <w:r w:rsidRPr="00AF5796">
        <w:rPr>
          <w:lang w:val="en-US"/>
        </w:rPr>
        <w:t xml:space="preserve">Figure </w:t>
      </w:r>
      <w:r w:rsidR="00567C49">
        <w:rPr>
          <w:lang w:val="en-US"/>
        </w:rPr>
        <w:t>A</w:t>
      </w:r>
      <w:r w:rsidRPr="00AF5796">
        <w:rPr>
          <w:lang w:val="en-US" w:eastAsia="ko-KR"/>
        </w:rPr>
        <w:t>2.8</w:t>
      </w:r>
    </w:p>
    <w:p w:rsidR="005D2DA7" w:rsidRPr="00AF5796" w:rsidRDefault="005D2DA7" w:rsidP="005D2DA7">
      <w:pPr>
        <w:pStyle w:val="Figuretitle"/>
        <w:spacing w:after="0"/>
        <w:rPr>
          <w:lang w:val="en-US" w:eastAsia="ko-KR"/>
        </w:rPr>
      </w:pPr>
      <w:r w:rsidRPr="00AF5796">
        <w:rPr>
          <w:lang w:val="en-US" w:eastAsia="ko-KR"/>
        </w:rPr>
        <w:t>Mobile subscriptions by technologies in Korea (Million)</w:t>
      </w:r>
    </w:p>
    <w:p w:rsidR="005D2DA7" w:rsidRPr="00AF5796" w:rsidRDefault="005D2DA7" w:rsidP="00F36D8D">
      <w:pPr>
        <w:pStyle w:val="Figure"/>
        <w:rPr>
          <w:lang w:val="en-US" w:eastAsia="ko-KR"/>
        </w:rPr>
      </w:pPr>
      <w:r w:rsidRPr="00AF5796">
        <w:rPr>
          <w:noProof/>
          <w:lang w:val="en-US" w:eastAsia="zh-CN"/>
        </w:rPr>
        <w:drawing>
          <wp:inline distT="0" distB="0" distL="0" distR="0" wp14:anchorId="49A61F8D" wp14:editId="05154F86">
            <wp:extent cx="4853435" cy="2457450"/>
            <wp:effectExtent l="19050" t="0" r="4315" b="0"/>
            <wp:docPr id="5" name="그림 6" descr="X1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_subs.png"/>
                    <pic:cNvPicPr/>
                  </pic:nvPicPr>
                  <pic:blipFill>
                    <a:blip r:embed="rId48" cstate="print"/>
                    <a:stretch>
                      <a:fillRect/>
                    </a:stretch>
                  </pic:blipFill>
                  <pic:spPr>
                    <a:xfrm>
                      <a:off x="0" y="0"/>
                      <a:ext cx="4860000" cy="2460774"/>
                    </a:xfrm>
                    <a:prstGeom prst="rect">
                      <a:avLst/>
                    </a:prstGeom>
                  </pic:spPr>
                </pic:pic>
              </a:graphicData>
            </a:graphic>
          </wp:inline>
        </w:drawing>
      </w:r>
    </w:p>
    <w:p w:rsidR="005D2DA7" w:rsidRPr="00AF5796" w:rsidRDefault="005D2DA7" w:rsidP="005D2DA7">
      <w:pPr>
        <w:rPr>
          <w:lang w:val="en-US"/>
        </w:rPr>
      </w:pPr>
      <w:r w:rsidRPr="00AF5796">
        <w:rPr>
          <w:lang w:val="en-US" w:eastAsia="ko-KR"/>
        </w:rPr>
        <w:t>Since firstly launched in 2011, the share of LTE/LTE-Advanced in yellow continues to grow rapidly and has reached 61% of total mobile subscriptions in 2014. However, for WCDMA/HSPA (in light blue) the net number of subscribers has continued to decrease after the year 2011 when LTE was launched. At the same time, the number of CDMA subscriptions has shrunk steadily.</w:t>
      </w:r>
    </w:p>
    <w:p w:rsidR="005D2DA7" w:rsidRPr="00AF5796" w:rsidRDefault="005D2DA7" w:rsidP="005D2DA7">
      <w:pPr>
        <w:pStyle w:val="Heading3"/>
        <w:rPr>
          <w:lang w:val="en-US" w:eastAsia="ko-KR"/>
        </w:rPr>
      </w:pPr>
      <w:r w:rsidRPr="00AF5796">
        <w:rPr>
          <w:lang w:val="en-US" w:eastAsia="ko-KR"/>
        </w:rPr>
        <w:t>A2.2.3</w:t>
      </w:r>
      <w:r w:rsidRPr="00AF5796">
        <w:rPr>
          <w:lang w:val="en-US" w:eastAsia="ko-KR"/>
        </w:rPr>
        <w:tab/>
        <w:t>Mobile traffic by technologies</w:t>
      </w:r>
    </w:p>
    <w:p w:rsidR="005D2DA7" w:rsidRPr="00AF5796" w:rsidRDefault="005D2DA7" w:rsidP="005D2DA7">
      <w:pPr>
        <w:rPr>
          <w:lang w:val="en-US" w:eastAsia="ko-KR"/>
        </w:rPr>
      </w:pPr>
      <w:r w:rsidRPr="00AF5796">
        <w:rPr>
          <w:lang w:val="en-US" w:eastAsia="ko-KR"/>
        </w:rPr>
        <w:t xml:space="preserve">Figure </w:t>
      </w:r>
      <w:r w:rsidR="00567C49">
        <w:rPr>
          <w:lang w:val="en-US" w:eastAsia="ko-KR"/>
        </w:rPr>
        <w:t>A</w:t>
      </w:r>
      <w:r w:rsidRPr="00AF5796">
        <w:rPr>
          <w:lang w:val="en-US" w:eastAsia="ko-KR"/>
        </w:rPr>
        <w:t>2.9</w:t>
      </w:r>
      <w:r w:rsidRPr="00AF5796">
        <w:rPr>
          <w:lang w:val="en-US"/>
        </w:rPr>
        <w:t xml:space="preserve"> below shows total monthly </w:t>
      </w:r>
      <w:r w:rsidRPr="00AF5796">
        <w:rPr>
          <w:lang w:val="en-US" w:eastAsia="ko-KR"/>
        </w:rPr>
        <w:t xml:space="preserve">mobile </w:t>
      </w:r>
      <w:r w:rsidRPr="00AF5796">
        <w:rPr>
          <w:lang w:val="en-US"/>
        </w:rPr>
        <w:t>data traffic</w:t>
      </w:r>
      <w:r w:rsidRPr="00AF5796">
        <w:rPr>
          <w:lang w:val="en-US" w:eastAsia="ko-KR"/>
        </w:rPr>
        <w:t xml:space="preserve"> in Korea</w:t>
      </w:r>
      <w:r w:rsidRPr="00AF5796">
        <w:rPr>
          <w:lang w:val="en-US"/>
        </w:rPr>
        <w:t xml:space="preserve">. It depicts a trend of </w:t>
      </w:r>
      <w:r w:rsidRPr="00AF5796">
        <w:rPr>
          <w:lang w:val="en-US" w:eastAsia="ko-KR"/>
        </w:rPr>
        <w:t>LTE/ LTE</w:t>
      </w:r>
      <w:r w:rsidRPr="00AF5796">
        <w:rPr>
          <w:lang w:val="en-US" w:eastAsia="ko-KR"/>
        </w:rPr>
        <w:noBreakHyphen/>
        <w:t xml:space="preserve">Advanced </w:t>
      </w:r>
      <w:r w:rsidRPr="00AF5796">
        <w:rPr>
          <w:lang w:val="en-US"/>
        </w:rPr>
        <w:t>data traffic</w:t>
      </w:r>
      <w:r w:rsidRPr="00AF5796">
        <w:rPr>
          <w:lang w:val="en-US" w:eastAsia="ko-KR"/>
        </w:rPr>
        <w:t xml:space="preserve"> </w:t>
      </w:r>
      <w:r w:rsidRPr="00AF5796">
        <w:rPr>
          <w:lang w:val="en-US"/>
        </w:rPr>
        <w:t xml:space="preserve">growth with </w:t>
      </w:r>
      <w:r w:rsidRPr="00AF5796">
        <w:rPr>
          <w:lang w:val="en-US" w:eastAsia="ko-KR"/>
        </w:rPr>
        <w:t>a goodly portion of the total traffic while depicting a decrease in the portion of WCDMA/HSPA</w:t>
      </w:r>
      <w:r w:rsidRPr="00AF5796">
        <w:rPr>
          <w:lang w:val="en-US"/>
        </w:rPr>
        <w:t xml:space="preserve">. </w:t>
      </w:r>
      <w:r w:rsidRPr="00AF5796">
        <w:rPr>
          <w:lang w:val="en-US" w:eastAsia="ko-KR"/>
        </w:rPr>
        <w:t>Total d</w:t>
      </w:r>
      <w:r w:rsidRPr="00AF5796">
        <w:rPr>
          <w:lang w:val="en-US"/>
        </w:rPr>
        <w:t xml:space="preserve">ata traffic </w:t>
      </w:r>
      <w:r w:rsidRPr="00AF5796">
        <w:rPr>
          <w:lang w:val="en-US" w:eastAsia="ko-KR"/>
        </w:rPr>
        <w:t>in 2014 marked</w:t>
      </w:r>
      <w:r w:rsidRPr="00AF5796">
        <w:rPr>
          <w:lang w:val="en-US"/>
        </w:rPr>
        <w:t xml:space="preserve"> around </w:t>
      </w:r>
      <w:r w:rsidRPr="00AF5796">
        <w:rPr>
          <w:lang w:val="en-US" w:eastAsia="ko-KR"/>
        </w:rPr>
        <w:t>230 times</w:t>
      </w:r>
      <w:r w:rsidRPr="00AF5796">
        <w:rPr>
          <w:lang w:val="en-US"/>
        </w:rPr>
        <w:t xml:space="preserve"> </w:t>
      </w:r>
      <w:r w:rsidR="00AA4FB6" w:rsidRPr="00AF5796">
        <w:rPr>
          <w:lang w:val="en-US" w:eastAsia="ko-KR"/>
        </w:rPr>
        <w:t>more than in </w:t>
      </w:r>
      <w:r w:rsidRPr="00AF5796">
        <w:rPr>
          <w:lang w:val="en-US" w:eastAsia="ko-KR"/>
        </w:rPr>
        <w:t>2009</w:t>
      </w:r>
      <w:r w:rsidRPr="00AF5796">
        <w:rPr>
          <w:lang w:val="en-US"/>
        </w:rPr>
        <w:t>.</w:t>
      </w:r>
      <w:r w:rsidRPr="00AF5796">
        <w:rPr>
          <w:lang w:val="en-US" w:eastAsia="ko-KR"/>
        </w:rPr>
        <w:t xml:space="preserve"> </w:t>
      </w:r>
    </w:p>
    <w:p w:rsidR="005D2DA7" w:rsidRPr="00AF5796" w:rsidRDefault="005D2DA7" w:rsidP="005D2DA7">
      <w:pPr>
        <w:pStyle w:val="FigureNo"/>
        <w:rPr>
          <w:lang w:val="en-US" w:eastAsia="ko-KR"/>
        </w:rPr>
      </w:pPr>
      <w:r w:rsidRPr="00AF5796">
        <w:rPr>
          <w:lang w:val="en-US"/>
        </w:rPr>
        <w:lastRenderedPageBreak/>
        <w:t xml:space="preserve">Figure </w:t>
      </w:r>
      <w:r w:rsidR="00567C49">
        <w:rPr>
          <w:lang w:val="en-US"/>
        </w:rPr>
        <w:t>A</w:t>
      </w:r>
      <w:r w:rsidRPr="00AF5796">
        <w:rPr>
          <w:lang w:val="en-US" w:eastAsia="ko-KR"/>
        </w:rPr>
        <w:t>2.9</w:t>
      </w:r>
    </w:p>
    <w:p w:rsidR="005D2DA7" w:rsidRPr="00AF5796" w:rsidRDefault="005D2DA7" w:rsidP="005D2DA7">
      <w:pPr>
        <w:pStyle w:val="Figuretitle"/>
        <w:spacing w:after="0"/>
        <w:rPr>
          <w:lang w:val="en-US" w:eastAsia="ko-KR"/>
        </w:rPr>
      </w:pPr>
      <w:r w:rsidRPr="00AF5796">
        <w:rPr>
          <w:lang w:val="en-US" w:eastAsia="ko-KR"/>
        </w:rPr>
        <w:t>Mobile traffic by technologies in Korea (TB/month)</w:t>
      </w:r>
    </w:p>
    <w:p w:rsidR="005D2DA7" w:rsidRPr="00AF5796" w:rsidRDefault="005D2DA7" w:rsidP="002219E2">
      <w:pPr>
        <w:pStyle w:val="Figure"/>
        <w:rPr>
          <w:lang w:val="en-US" w:eastAsia="ko-KR"/>
        </w:rPr>
      </w:pPr>
      <w:r w:rsidRPr="00AF5796">
        <w:rPr>
          <w:noProof/>
          <w:lang w:val="en-US" w:eastAsia="zh-CN"/>
        </w:rPr>
        <w:drawing>
          <wp:inline distT="0" distB="0" distL="0" distR="0" wp14:anchorId="1D987F5B" wp14:editId="7E5A77F5">
            <wp:extent cx="4855100" cy="3474720"/>
            <wp:effectExtent l="19050" t="0" r="2650" b="0"/>
            <wp:docPr id="11" name="그림 1" descr="X2_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_traffic.png"/>
                    <pic:cNvPicPr/>
                  </pic:nvPicPr>
                  <pic:blipFill>
                    <a:blip r:embed="rId49" cstate="print"/>
                    <a:stretch>
                      <a:fillRect/>
                    </a:stretch>
                  </pic:blipFill>
                  <pic:spPr>
                    <a:xfrm>
                      <a:off x="0" y="0"/>
                      <a:ext cx="4860000" cy="3478227"/>
                    </a:xfrm>
                    <a:prstGeom prst="rect">
                      <a:avLst/>
                    </a:prstGeom>
                  </pic:spPr>
                </pic:pic>
              </a:graphicData>
            </a:graphic>
          </wp:inline>
        </w:drawing>
      </w:r>
    </w:p>
    <w:p w:rsidR="005D2DA7" w:rsidRPr="00AF5796" w:rsidRDefault="005D2DA7" w:rsidP="005D2DA7">
      <w:pPr>
        <w:rPr>
          <w:lang w:val="en-US" w:eastAsia="ko-KR"/>
        </w:rPr>
      </w:pPr>
      <w:r w:rsidRPr="00AF5796">
        <w:rPr>
          <w:lang w:val="en-US" w:eastAsia="ko-KR"/>
        </w:rPr>
        <w:t>As mentioned in the previous section, the mobile operators launched LTE networks in July 2011. Operators have sequentially deployed advanced LTE networks, so called LTE-Advanced (150 Mbps) and Wideband LTE-Advanced (225 Mbps) in terms of Korean market, in June 2013 and June 2014 respectively in order to meet user demands.</w:t>
      </w:r>
    </w:p>
    <w:p w:rsidR="005D2DA7" w:rsidRPr="00AF5796" w:rsidRDefault="005D2DA7" w:rsidP="005D2DA7">
      <w:pPr>
        <w:rPr>
          <w:lang w:val="en-US" w:eastAsia="ko-KR"/>
        </w:rPr>
      </w:pPr>
      <w:r w:rsidRPr="00AF5796">
        <w:rPr>
          <w:lang w:val="en-US" w:eastAsia="ko-KR"/>
        </w:rPr>
        <w:t xml:space="preserve">In addition, the deployment of these advanced networks has resulted in an increase </w:t>
      </w:r>
      <w:r w:rsidRPr="00AF5796">
        <w:rPr>
          <w:lang w:val="en-US"/>
        </w:rPr>
        <w:t xml:space="preserve">in </w:t>
      </w:r>
      <w:r w:rsidRPr="00AF5796">
        <w:rPr>
          <w:lang w:val="en-US" w:eastAsia="ko-KR"/>
        </w:rPr>
        <w:t>the average monthly traffic volume per smartpho</w:t>
      </w:r>
      <w:r w:rsidR="002561B9" w:rsidRPr="00AF5796">
        <w:rPr>
          <w:lang w:val="en-US" w:eastAsia="ko-KR"/>
        </w:rPr>
        <w:t>ne subscriber as shown in Fig.</w:t>
      </w:r>
      <w:r w:rsidRPr="00AF5796">
        <w:rPr>
          <w:lang w:val="en-US" w:eastAsia="ko-KR"/>
        </w:rPr>
        <w:t xml:space="preserve"> </w:t>
      </w:r>
      <w:r w:rsidR="00567C49">
        <w:rPr>
          <w:lang w:val="en-US" w:eastAsia="ko-KR"/>
        </w:rPr>
        <w:t>A</w:t>
      </w:r>
      <w:r w:rsidRPr="00AF5796">
        <w:rPr>
          <w:lang w:val="en-US" w:eastAsia="ko-KR"/>
        </w:rPr>
        <w:t>2.10</w:t>
      </w:r>
      <w:r w:rsidRPr="00AF5796">
        <w:rPr>
          <w:lang w:val="en-US"/>
        </w:rPr>
        <w:t>.</w:t>
      </w:r>
    </w:p>
    <w:p w:rsidR="005D2DA7" w:rsidRPr="00AF5796" w:rsidRDefault="005D2DA7" w:rsidP="005D2DA7">
      <w:pPr>
        <w:pStyle w:val="FigureNo"/>
        <w:spacing w:before="360"/>
        <w:rPr>
          <w:lang w:val="en-US" w:eastAsia="ko-KR"/>
        </w:rPr>
      </w:pPr>
      <w:r w:rsidRPr="00AF5796">
        <w:rPr>
          <w:lang w:val="en-US"/>
        </w:rPr>
        <w:t xml:space="preserve">Figure </w:t>
      </w:r>
      <w:r w:rsidR="00567C49">
        <w:rPr>
          <w:lang w:val="en-US"/>
        </w:rPr>
        <w:t>A</w:t>
      </w:r>
      <w:r w:rsidRPr="00AF5796">
        <w:rPr>
          <w:lang w:val="en-US" w:eastAsia="ko-KR"/>
        </w:rPr>
        <w:t>2.10</w:t>
      </w:r>
    </w:p>
    <w:p w:rsidR="005D2DA7" w:rsidRPr="00AF5796" w:rsidRDefault="005D2DA7" w:rsidP="005D2DA7">
      <w:pPr>
        <w:pStyle w:val="Figuretitle"/>
        <w:spacing w:after="0"/>
        <w:rPr>
          <w:lang w:val="en-US" w:eastAsia="ko-KR"/>
        </w:rPr>
      </w:pPr>
      <w:r w:rsidRPr="00AF5796">
        <w:rPr>
          <w:lang w:val="en-US" w:eastAsia="ko-KR"/>
        </w:rPr>
        <w:t>Average traffic volume per smartphone subscriber by technology in Korea (MB/month)</w:t>
      </w:r>
    </w:p>
    <w:p w:rsidR="006B7388" w:rsidRPr="00AF5796" w:rsidRDefault="005D2DA7" w:rsidP="006B7388">
      <w:pPr>
        <w:pStyle w:val="Figure"/>
        <w:rPr>
          <w:lang w:val="en-US" w:eastAsia="ko-KR"/>
        </w:rPr>
      </w:pPr>
      <w:r w:rsidRPr="00AF5796">
        <w:rPr>
          <w:noProof/>
          <w:lang w:val="en-US" w:eastAsia="zh-CN"/>
        </w:rPr>
        <w:drawing>
          <wp:inline distT="0" distB="0" distL="0" distR="0" wp14:anchorId="6FB8F128" wp14:editId="25086ED0">
            <wp:extent cx="4848750" cy="3148717"/>
            <wp:effectExtent l="19050" t="0" r="9000" b="0"/>
            <wp:docPr id="13" name="그림 8" descr="X3_subs 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_subs traffic.png"/>
                    <pic:cNvPicPr/>
                  </pic:nvPicPr>
                  <pic:blipFill>
                    <a:blip r:embed="rId50" cstate="print"/>
                    <a:stretch>
                      <a:fillRect/>
                    </a:stretch>
                  </pic:blipFill>
                  <pic:spPr>
                    <a:xfrm>
                      <a:off x="0" y="0"/>
                      <a:ext cx="4860000" cy="3156023"/>
                    </a:xfrm>
                    <a:prstGeom prst="rect">
                      <a:avLst/>
                    </a:prstGeom>
                  </pic:spPr>
                </pic:pic>
              </a:graphicData>
            </a:graphic>
          </wp:inline>
        </w:drawing>
      </w:r>
    </w:p>
    <w:p w:rsidR="005D2DA7" w:rsidRPr="00AF5796" w:rsidRDefault="005D2DA7" w:rsidP="00256DDC">
      <w:pPr>
        <w:rPr>
          <w:lang w:val="en-US" w:eastAsia="ko-KR"/>
        </w:rPr>
      </w:pPr>
      <w:r w:rsidRPr="00AF5796">
        <w:rPr>
          <w:lang w:val="en-US" w:eastAsia="ko-KR"/>
        </w:rPr>
        <w:lastRenderedPageBreak/>
        <w:t>At the end of 2014, the average traffic volume per smartphone subscriber reached 2.1 GB per month. At that time, a 4G smartphone subscriber consumed around 3.34 GB per month while a 3G</w:t>
      </w:r>
      <w:r w:rsidR="00256DDC" w:rsidRPr="00AF5796">
        <w:rPr>
          <w:lang w:val="en-US" w:eastAsia="ko-KR"/>
        </w:rPr>
        <w:noBreakHyphen/>
      </w:r>
      <w:r w:rsidRPr="00AF5796">
        <w:rPr>
          <w:lang w:val="en-US" w:eastAsia="ko-KR"/>
        </w:rPr>
        <w:t xml:space="preserve">smartphone subscriber consumed 1 GB. </w:t>
      </w:r>
      <w:r w:rsidR="0062568F" w:rsidRPr="00AF5796">
        <w:rPr>
          <w:lang w:val="en-US" w:eastAsia="ko-KR"/>
        </w:rPr>
        <w:t>By analogy with Fig.</w:t>
      </w:r>
      <w:r w:rsidRPr="00AF5796">
        <w:rPr>
          <w:lang w:val="en-US" w:eastAsia="ko-KR"/>
        </w:rPr>
        <w:t xml:space="preserve"> </w:t>
      </w:r>
      <w:r w:rsidR="00567C49">
        <w:rPr>
          <w:lang w:val="en-US" w:eastAsia="ko-KR"/>
        </w:rPr>
        <w:t>A</w:t>
      </w:r>
      <w:r w:rsidRPr="00AF5796">
        <w:rPr>
          <w:lang w:val="en-US" w:eastAsia="ko-KR"/>
        </w:rPr>
        <w:t>2.10, LTE/LTE-Advanced connections supporting higher data rates than WCDMA/HSPA networks encourage the adoption and usage of wide bandwidth applications and the subscribers enjoy more time connected with their devices. With IMT-Advanced (LTE/LTE-Advanced) networks becoming widely available, the gap between IMT</w:t>
      </w:r>
      <w:r w:rsidR="00256DDC" w:rsidRPr="00AF5796">
        <w:rPr>
          <w:lang w:val="en-US" w:eastAsia="ko-KR"/>
        </w:rPr>
        <w:noBreakHyphen/>
      </w:r>
      <w:r w:rsidRPr="00AF5796">
        <w:rPr>
          <w:lang w:val="en-US" w:eastAsia="ko-KR"/>
        </w:rPr>
        <w:t>2000 (WCDMA/HSPA) and IMT-Advanced is likely to widen in the future.</w:t>
      </w:r>
    </w:p>
    <w:p w:rsidR="00732125" w:rsidRPr="00AF5796" w:rsidRDefault="00732125" w:rsidP="005D2DA7">
      <w:pPr>
        <w:rPr>
          <w:lang w:val="en-US" w:eastAsia="ko-KR"/>
        </w:rPr>
      </w:pPr>
    </w:p>
    <w:p w:rsidR="00732125" w:rsidRPr="00AF5796" w:rsidRDefault="00732125" w:rsidP="005D2DA7">
      <w:pPr>
        <w:rPr>
          <w:lang w:val="en-US" w:eastAsia="ko-KR"/>
        </w:rPr>
      </w:pPr>
    </w:p>
    <w:p w:rsidR="005D2DA7" w:rsidRPr="00AF5796" w:rsidRDefault="00732125" w:rsidP="00732125">
      <w:pPr>
        <w:pStyle w:val="AnnexNoTitle"/>
        <w:rPr>
          <w:rFonts w:eastAsia="Calibri"/>
          <w:lang w:val="en-US"/>
        </w:rPr>
      </w:pPr>
      <w:bookmarkStart w:id="59" w:name="_Toc427935124"/>
      <w:r w:rsidRPr="00AF5796">
        <w:rPr>
          <w:rFonts w:eastAsia="Calibri"/>
          <w:lang w:val="en-US"/>
        </w:rPr>
        <w:t xml:space="preserve">Annex </w:t>
      </w:r>
      <w:r w:rsidR="005D2DA7" w:rsidRPr="00AF5796">
        <w:rPr>
          <w:rFonts w:eastAsia="Calibri"/>
          <w:lang w:val="en-US"/>
        </w:rPr>
        <w:t>3</w:t>
      </w:r>
      <w:r w:rsidRPr="00AF5796">
        <w:rPr>
          <w:rFonts w:eastAsia="Calibri"/>
          <w:lang w:val="en-US"/>
        </w:rPr>
        <w:br/>
      </w:r>
      <w:r w:rsidRPr="00AF5796">
        <w:rPr>
          <w:rFonts w:eastAsia="Calibri"/>
          <w:lang w:val="en-US"/>
        </w:rPr>
        <w:br/>
      </w:r>
      <w:r w:rsidR="005D2DA7" w:rsidRPr="00AF5796">
        <w:rPr>
          <w:rFonts w:eastAsia="Calibri"/>
          <w:lang w:val="en-US"/>
        </w:rPr>
        <w:t xml:space="preserve">Some </w:t>
      </w:r>
      <w:r w:rsidR="0055135E" w:rsidRPr="00AF5796">
        <w:rPr>
          <w:rFonts w:eastAsia="Calibri"/>
          <w:lang w:val="en-US"/>
        </w:rPr>
        <w:t xml:space="preserve">examples </w:t>
      </w:r>
      <w:r w:rsidR="005D2DA7" w:rsidRPr="00AF5796">
        <w:rPr>
          <w:rFonts w:eastAsia="Calibri"/>
          <w:lang w:val="en-US"/>
        </w:rPr>
        <w:t xml:space="preserve">of </w:t>
      </w:r>
      <w:r w:rsidR="0055135E" w:rsidRPr="00AF5796">
        <w:rPr>
          <w:rFonts w:eastAsia="Calibri"/>
          <w:lang w:val="en-US"/>
        </w:rPr>
        <w:t>subscribers’ traffic profiles</w:t>
      </w:r>
      <w:bookmarkEnd w:id="59"/>
    </w:p>
    <w:p w:rsidR="005D2DA7" w:rsidRPr="00AF5796" w:rsidRDefault="005D2DA7" w:rsidP="005D2DA7">
      <w:pPr>
        <w:rPr>
          <w:lang w:val="en-US" w:eastAsia="zh-CN"/>
        </w:rPr>
      </w:pPr>
      <w:r w:rsidRPr="00AF5796">
        <w:rPr>
          <w:lang w:val="en-US" w:eastAsia="zh-CN"/>
        </w:rPr>
        <w:t>In terms of subscriber’s geographical distribution (a type of space-domain subscriber behaviour), one can see that, typically, subscribers are quite unevenly distributed in geographical areas. 80% of the French population lives on less than 20% of the geographical area</w:t>
      </w:r>
      <w:r w:rsidRPr="00AF5796">
        <w:rPr>
          <w:rStyle w:val="FootnoteReference"/>
          <w:lang w:val="en-US" w:eastAsia="zh-CN"/>
        </w:rPr>
        <w:footnoteReference w:id="38"/>
      </w:r>
      <w:r w:rsidRPr="00AF5796">
        <w:rPr>
          <w:lang w:val="en-US" w:eastAsia="zh-CN"/>
        </w:rPr>
        <w:t>. Besides, a minimum 80% of the traffic is generated by human communication, thus the network traffic distribution is directly related to the geographical distribution of different subscribers. Field experience shows that 80% of mobile traffic is processed by only 20% of network sites, which implies highly non-uniform traffic distribution in the space domain.</w:t>
      </w:r>
    </w:p>
    <w:p w:rsidR="005D2DA7" w:rsidRPr="00AF5796" w:rsidRDefault="005D2DA7" w:rsidP="00DE5E1D">
      <w:pPr>
        <w:rPr>
          <w:lang w:val="en-US" w:eastAsia="zh-CN"/>
        </w:rPr>
      </w:pPr>
      <w:r w:rsidRPr="00AF5796">
        <w:rPr>
          <w:lang w:val="en-US" w:eastAsia="zh-CN"/>
        </w:rPr>
        <w:t>For subscriber behaviour in time domain, it is reported in</w:t>
      </w:r>
      <w:r w:rsidRPr="00AF5796">
        <w:rPr>
          <w:rStyle w:val="FootnoteReference"/>
          <w:lang w:val="en-US" w:eastAsia="zh-CN"/>
        </w:rPr>
        <w:footnoteReference w:id="39"/>
      </w:r>
      <w:r w:rsidRPr="00AF5796">
        <w:rPr>
          <w:lang w:val="en-US" w:eastAsia="zh-CN"/>
        </w:rPr>
        <w:t xml:space="preserve"> that smartphones are used more between 8</w:t>
      </w:r>
      <w:r w:rsidR="00467C49" w:rsidRPr="00AF5796">
        <w:rPr>
          <w:lang w:val="en-US" w:eastAsia="zh-CN"/>
        </w:rPr>
        <w:t> </w:t>
      </w:r>
      <w:r w:rsidRPr="00AF5796">
        <w:rPr>
          <w:lang w:val="en-US" w:eastAsia="zh-CN"/>
        </w:rPr>
        <w:t>am and 6</w:t>
      </w:r>
      <w:r w:rsidR="00467C49" w:rsidRPr="00AF5796">
        <w:rPr>
          <w:lang w:val="en-US" w:eastAsia="zh-CN"/>
        </w:rPr>
        <w:t> </w:t>
      </w:r>
      <w:r w:rsidRPr="00AF5796">
        <w:rPr>
          <w:lang w:val="en-US" w:eastAsia="zh-CN"/>
        </w:rPr>
        <w:t>pm, while tablet usage increases slightly after 6 pm. Specifically, in th</w:t>
      </w:r>
      <w:r w:rsidR="006B7388" w:rsidRPr="00AF5796">
        <w:rPr>
          <w:lang w:val="en-US" w:eastAsia="zh-CN"/>
        </w:rPr>
        <w:t>e night period (e.g.</w:t>
      </w:r>
      <w:r w:rsidR="00DE5E1D">
        <w:rPr>
          <w:lang w:val="en-US" w:eastAsia="zh-CN"/>
        </w:rPr>
        <w:t> </w:t>
      </w:r>
      <w:r w:rsidRPr="00AF5796">
        <w:rPr>
          <w:lang w:val="en-US" w:eastAsia="zh-CN"/>
        </w:rPr>
        <w:t>0</w:t>
      </w:r>
      <w:r w:rsidR="00DE5E1D">
        <w:rPr>
          <w:lang w:val="en-US" w:eastAsia="zh-CN"/>
        </w:rPr>
        <w:t> </w:t>
      </w:r>
      <w:r w:rsidRPr="00AF5796">
        <w:rPr>
          <w:lang w:val="en-US" w:eastAsia="zh-CN"/>
        </w:rPr>
        <w:t>– 8 am) less traffic is delivered in the network while in the day period the traffic of different kinds of applications grow, and reach the peak in the time window between 8</w:t>
      </w:r>
      <w:r w:rsidR="00467C49" w:rsidRPr="00AF5796">
        <w:rPr>
          <w:lang w:val="en-US" w:eastAsia="zh-CN"/>
        </w:rPr>
        <w:t> </w:t>
      </w:r>
      <w:r w:rsidRPr="00AF5796">
        <w:rPr>
          <w:lang w:val="en-US" w:eastAsia="zh-CN"/>
        </w:rPr>
        <w:t xml:space="preserve">pm and 10 pm. </w:t>
      </w:r>
    </w:p>
    <w:p w:rsidR="005D2DA7" w:rsidRPr="00AF5796" w:rsidRDefault="005D2DA7" w:rsidP="001B512B">
      <w:pPr>
        <w:rPr>
          <w:lang w:val="en-US" w:eastAsia="zh-CN"/>
        </w:rPr>
      </w:pPr>
      <w:r w:rsidRPr="00AF5796">
        <w:rPr>
          <w:lang w:val="en-US" w:eastAsia="zh-CN"/>
        </w:rPr>
        <w:t xml:space="preserve">Figure </w:t>
      </w:r>
      <w:r w:rsidR="00567C49">
        <w:rPr>
          <w:lang w:val="en-US" w:eastAsia="zh-CN"/>
        </w:rPr>
        <w:t>A</w:t>
      </w:r>
      <w:r w:rsidRPr="00AF5796">
        <w:rPr>
          <w:lang w:val="en-US" w:eastAsia="zh-CN"/>
        </w:rPr>
        <w:t>3.1 shows the daily profiles of the five major mobile applications</w:t>
      </w:r>
      <w:r w:rsidRPr="00AF5796">
        <w:rPr>
          <w:rStyle w:val="FootnoteReference"/>
          <w:lang w:val="en-US" w:eastAsia="zh-CN"/>
        </w:rPr>
        <w:footnoteReference w:id="40"/>
      </w:r>
      <w:r w:rsidRPr="00AF5796">
        <w:rPr>
          <w:lang w:val="en-US" w:eastAsia="zh-CN"/>
        </w:rPr>
        <w:t xml:space="preserve"> in North American Region (NAR), namely, streaming (audio and video), computing (cloud processing, office productivity, other mobile applications), storage (media sharing, backup and device synchronisation), gaming (casual, interactive or emerging applications), and communicating (voice, video, e-mail and M2M). All these represent human behaviours and they are similar across geographies. </w:t>
      </w:r>
      <w:r w:rsidR="00207607" w:rsidRPr="00AF5796">
        <w:rPr>
          <w:lang w:val="en-US" w:eastAsia="zh-CN"/>
        </w:rPr>
        <w:t>Fig</w:t>
      </w:r>
      <w:r w:rsidR="00567C49">
        <w:rPr>
          <w:lang w:val="en-US" w:eastAsia="zh-CN"/>
        </w:rPr>
        <w:t>ure A</w:t>
      </w:r>
      <w:r w:rsidRPr="00AF5796">
        <w:rPr>
          <w:lang w:val="en-US" w:eastAsia="zh-CN"/>
        </w:rPr>
        <w:t>3.2 depicts the applicatio</w:t>
      </w:r>
      <w:r w:rsidR="00440A71">
        <w:rPr>
          <w:lang w:val="en-US" w:eastAsia="zh-CN"/>
        </w:rPr>
        <w:t>n daily traffic profile in NAR.</w:t>
      </w:r>
    </w:p>
    <w:p w:rsidR="005D2DA7" w:rsidRPr="00AF5796" w:rsidRDefault="005D2DA7" w:rsidP="005D2DA7">
      <w:pPr>
        <w:pStyle w:val="FigureNo"/>
        <w:rPr>
          <w:lang w:val="en-US" w:eastAsia="zh-CN"/>
        </w:rPr>
      </w:pPr>
      <w:r w:rsidRPr="00AF5796">
        <w:rPr>
          <w:lang w:val="en-US"/>
        </w:rPr>
        <w:lastRenderedPageBreak/>
        <w:t>Figure</w:t>
      </w:r>
      <w:r w:rsidRPr="00AF5796">
        <w:rPr>
          <w:noProof/>
          <w:lang w:val="en-US"/>
        </w:rPr>
        <w:t xml:space="preserve"> </w:t>
      </w:r>
      <w:r w:rsidR="00567C49">
        <w:rPr>
          <w:noProof/>
          <w:lang w:val="en-US"/>
        </w:rPr>
        <w:t>A</w:t>
      </w:r>
      <w:r w:rsidRPr="00AF5796">
        <w:rPr>
          <w:noProof/>
          <w:lang w:val="en-US" w:eastAsia="zh-CN"/>
        </w:rPr>
        <w:t>3.1</w:t>
      </w:r>
    </w:p>
    <w:p w:rsidR="005D2DA7" w:rsidRPr="00AF5796" w:rsidRDefault="005D2DA7" w:rsidP="00F3413F">
      <w:pPr>
        <w:pStyle w:val="Figuretitle"/>
        <w:rPr>
          <w:lang w:val="en-US" w:eastAsia="zh-CN"/>
        </w:rPr>
      </w:pPr>
      <w:r w:rsidRPr="00AF5796">
        <w:rPr>
          <w:lang w:val="en-US" w:eastAsia="zh-CN"/>
        </w:rPr>
        <w:t>Traffic Daily Profiles of the Five Major mobile Applications in NAR (2020)</w:t>
      </w:r>
    </w:p>
    <w:p w:rsidR="005D2DA7" w:rsidRPr="00AF5796" w:rsidRDefault="005D2DA7" w:rsidP="00F3413F">
      <w:pPr>
        <w:pStyle w:val="Figure"/>
        <w:rPr>
          <w:lang w:val="en-US"/>
        </w:rPr>
      </w:pPr>
      <w:r w:rsidRPr="00AF5796">
        <w:rPr>
          <w:noProof/>
          <w:lang w:val="en-US" w:eastAsia="zh-CN"/>
        </w:rPr>
        <w:drawing>
          <wp:inline distT="0" distB="0" distL="0" distR="0" wp14:anchorId="4F8FEEF6" wp14:editId="5FCF458E">
            <wp:extent cx="5353049" cy="2667000"/>
            <wp:effectExtent l="19050" t="0" r="1"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353049" cy="2667000"/>
                    </a:xfrm>
                    <a:prstGeom prst="rect">
                      <a:avLst/>
                    </a:prstGeom>
                    <a:noFill/>
                    <a:ln w="9525">
                      <a:noFill/>
                      <a:miter lim="800000"/>
                      <a:headEnd/>
                      <a:tailEnd/>
                    </a:ln>
                  </pic:spPr>
                </pic:pic>
              </a:graphicData>
            </a:graphic>
          </wp:inline>
        </w:drawing>
      </w:r>
    </w:p>
    <w:p w:rsidR="005D2DA7" w:rsidRPr="00AF5796" w:rsidRDefault="005D2DA7" w:rsidP="005D2DA7">
      <w:pPr>
        <w:pStyle w:val="FigureNo"/>
        <w:spacing w:before="720"/>
        <w:rPr>
          <w:lang w:val="en-US" w:eastAsia="zh-CN"/>
        </w:rPr>
      </w:pPr>
      <w:r w:rsidRPr="00AF5796">
        <w:rPr>
          <w:lang w:val="en-US"/>
        </w:rPr>
        <w:t>Figure</w:t>
      </w:r>
      <w:r w:rsidRPr="00AF5796">
        <w:rPr>
          <w:noProof/>
          <w:lang w:val="en-US"/>
        </w:rPr>
        <w:t xml:space="preserve"> </w:t>
      </w:r>
      <w:r w:rsidR="00567C49">
        <w:rPr>
          <w:noProof/>
          <w:lang w:val="en-US"/>
        </w:rPr>
        <w:t>A</w:t>
      </w:r>
      <w:r w:rsidRPr="00AF5796">
        <w:rPr>
          <w:noProof/>
          <w:lang w:val="en-US" w:eastAsia="zh-CN"/>
        </w:rPr>
        <w:t>3.2</w:t>
      </w:r>
    </w:p>
    <w:p w:rsidR="005D2DA7" w:rsidRPr="00AF5796" w:rsidRDefault="005D2DA7" w:rsidP="00F3413F">
      <w:pPr>
        <w:pStyle w:val="Figuretitle"/>
        <w:rPr>
          <w:lang w:val="en-US" w:eastAsia="zh-CN"/>
        </w:rPr>
      </w:pPr>
      <w:r w:rsidRPr="00AF5796">
        <w:rPr>
          <w:lang w:val="en-US" w:eastAsia="zh-CN"/>
        </w:rPr>
        <w:t>Application Traffic Daily Profile in NAR (2020)</w:t>
      </w:r>
    </w:p>
    <w:p w:rsidR="005D2DA7" w:rsidRPr="00AF5796" w:rsidRDefault="005D2DA7" w:rsidP="00467C49">
      <w:pPr>
        <w:pStyle w:val="Figure"/>
        <w:rPr>
          <w:lang w:val="en-US" w:eastAsia="zh-CN"/>
        </w:rPr>
      </w:pPr>
      <w:r w:rsidRPr="00AF5796">
        <w:rPr>
          <w:noProof/>
          <w:lang w:val="en-US" w:eastAsia="zh-CN"/>
        </w:rPr>
        <w:drawing>
          <wp:inline distT="0" distB="0" distL="0" distR="0" wp14:anchorId="2DAC51E5" wp14:editId="46CE9AF4">
            <wp:extent cx="4860189" cy="2844643"/>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860460" cy="2844802"/>
                    </a:xfrm>
                    <a:prstGeom prst="rect">
                      <a:avLst/>
                    </a:prstGeom>
                    <a:noFill/>
                    <a:ln w="9525">
                      <a:noFill/>
                      <a:miter lim="800000"/>
                      <a:headEnd/>
                      <a:tailEnd/>
                    </a:ln>
                  </pic:spPr>
                </pic:pic>
              </a:graphicData>
            </a:graphic>
          </wp:inline>
        </w:drawing>
      </w:r>
    </w:p>
    <w:p w:rsidR="005D2DA7" w:rsidRPr="00AF5796" w:rsidRDefault="005D2DA7" w:rsidP="00567C49">
      <w:pPr>
        <w:overflowPunct/>
        <w:autoSpaceDE/>
        <w:autoSpaceDN/>
        <w:adjustRightInd/>
        <w:spacing w:before="0"/>
        <w:textAlignment w:val="auto"/>
        <w:rPr>
          <w:lang w:val="en-US" w:eastAsia="zh-CN"/>
        </w:rPr>
      </w:pPr>
      <w:r w:rsidRPr="00AF5796">
        <w:rPr>
          <w:lang w:val="en-US" w:eastAsia="zh-CN"/>
        </w:rPr>
        <w:t xml:space="preserve">The above </w:t>
      </w:r>
      <w:r w:rsidR="00567C49">
        <w:rPr>
          <w:lang w:val="en-US" w:eastAsia="zh-CN"/>
        </w:rPr>
        <w:t>F</w:t>
      </w:r>
      <w:r w:rsidRPr="00AF5796">
        <w:rPr>
          <w:lang w:val="en-US" w:eastAsia="zh-CN"/>
        </w:rPr>
        <w:t>igures reveal that in NAR, traffic is heaviest between 7</w:t>
      </w:r>
      <w:r w:rsidR="0055135E" w:rsidRPr="00AF5796">
        <w:rPr>
          <w:lang w:val="en-US" w:eastAsia="zh-CN"/>
        </w:rPr>
        <w:t xml:space="preserve"> </w:t>
      </w:r>
      <w:r w:rsidRPr="00AF5796">
        <w:rPr>
          <w:lang w:val="en-US" w:eastAsia="zh-CN"/>
        </w:rPr>
        <w:t>AM and 11 PM. Video and audio streaming is the biggest category with a busy hour peak in the evening and compared to 2012 statistical information, streaming is becoming an increasingly larger percent of the total demand accentuating the late evening peak (9</w:t>
      </w:r>
      <w:r w:rsidR="0055135E" w:rsidRPr="00AF5796">
        <w:rPr>
          <w:lang w:val="en-US" w:eastAsia="zh-CN"/>
        </w:rPr>
        <w:t xml:space="preserve"> </w:t>
      </w:r>
      <w:r w:rsidRPr="00AF5796">
        <w:rPr>
          <w:lang w:val="en-US" w:eastAsia="zh-CN"/>
        </w:rPr>
        <w:t xml:space="preserve">PM) and increasing the </w:t>
      </w:r>
      <w:r w:rsidR="0055135E" w:rsidRPr="00AF5796">
        <w:rPr>
          <w:lang w:val="en-US" w:eastAsia="zh-CN"/>
        </w:rPr>
        <w:t>peak</w:t>
      </w:r>
      <w:r w:rsidRPr="00AF5796">
        <w:rPr>
          <w:lang w:val="en-US" w:eastAsia="zh-CN"/>
        </w:rPr>
        <w:t>-to-</w:t>
      </w:r>
      <w:r w:rsidR="0055135E" w:rsidRPr="00AF5796">
        <w:rPr>
          <w:lang w:val="en-US" w:eastAsia="zh-CN"/>
        </w:rPr>
        <w:t xml:space="preserve">average </w:t>
      </w:r>
      <w:r w:rsidRPr="00AF5796">
        <w:rPr>
          <w:lang w:val="en-US" w:eastAsia="zh-CN"/>
        </w:rPr>
        <w:t xml:space="preserve">ratio. </w:t>
      </w:r>
    </w:p>
    <w:p w:rsidR="005D2DA7" w:rsidRPr="00AF5796" w:rsidRDefault="005D2DA7" w:rsidP="005D2DA7">
      <w:pPr>
        <w:overflowPunct/>
        <w:autoSpaceDE/>
        <w:autoSpaceDN/>
        <w:adjustRightInd/>
        <w:spacing w:before="0"/>
        <w:textAlignment w:val="auto"/>
        <w:rPr>
          <w:lang w:val="en-US" w:eastAsia="zh-CN"/>
        </w:rPr>
      </w:pPr>
      <w:r w:rsidRPr="00AF5796">
        <w:rPr>
          <w:lang w:val="en-US" w:eastAsia="zh-CN"/>
        </w:rPr>
        <w:t>Gaming and communicating show also peaks in the morning as well as evenings, while storage/back-up is strongest at the typically non-busy hours of the day. Computing and other cloud applications show a steady use during the working hours and early evening.</w:t>
      </w:r>
    </w:p>
    <w:p w:rsidR="005D2DA7" w:rsidRPr="00AF5796" w:rsidRDefault="005D2DA7" w:rsidP="0055135E">
      <w:pPr>
        <w:rPr>
          <w:lang w:val="en-US" w:eastAsia="zh-CN"/>
        </w:rPr>
      </w:pPr>
      <w:r w:rsidRPr="00AF5796">
        <w:rPr>
          <w:lang w:val="en-US" w:eastAsia="zh-CN"/>
        </w:rPr>
        <w:t xml:space="preserve">For Western Europe (WE), similar behaviours can be observed as can be depicted in </w:t>
      </w:r>
      <w:r w:rsidR="00207607" w:rsidRPr="00AF5796">
        <w:rPr>
          <w:lang w:val="en-US" w:eastAsia="zh-CN"/>
        </w:rPr>
        <w:t>Fig.</w:t>
      </w:r>
      <w:r w:rsidRPr="00AF5796">
        <w:rPr>
          <w:lang w:val="en-US" w:eastAsia="zh-CN"/>
        </w:rPr>
        <w:t xml:space="preserve"> </w:t>
      </w:r>
      <w:r w:rsidR="00567C49">
        <w:rPr>
          <w:lang w:val="en-US" w:eastAsia="zh-CN"/>
        </w:rPr>
        <w:t>A</w:t>
      </w:r>
      <w:r w:rsidRPr="00AF5796">
        <w:rPr>
          <w:lang w:val="en-US" w:eastAsia="zh-CN"/>
        </w:rPr>
        <w:t>3.3</w:t>
      </w:r>
      <w:r w:rsidR="0055135E" w:rsidRPr="00AF5796">
        <w:rPr>
          <w:lang w:val="en-US" w:eastAsia="zh-CN"/>
        </w:rPr>
        <w:t>.</w:t>
      </w:r>
      <w:r w:rsidRPr="00AF5796">
        <w:rPr>
          <w:lang w:val="en-US" w:eastAsia="zh-CN"/>
        </w:rPr>
        <w:t xml:space="preserve"> It should be noted that those profiles provide an average view since per country usage varies due to different working hours, meal times and other cultural and socio-economic differences. </w:t>
      </w:r>
    </w:p>
    <w:p w:rsidR="005D2DA7" w:rsidRPr="00AF5796" w:rsidRDefault="005D2DA7" w:rsidP="005D2DA7">
      <w:pPr>
        <w:pStyle w:val="FigureNo"/>
        <w:rPr>
          <w:lang w:val="en-US" w:eastAsia="zh-CN"/>
        </w:rPr>
      </w:pPr>
      <w:r w:rsidRPr="00AF5796">
        <w:rPr>
          <w:lang w:val="en-US"/>
        </w:rPr>
        <w:lastRenderedPageBreak/>
        <w:t>Figure</w:t>
      </w:r>
      <w:r w:rsidRPr="00AF5796">
        <w:rPr>
          <w:noProof/>
          <w:lang w:val="en-US"/>
        </w:rPr>
        <w:t xml:space="preserve"> </w:t>
      </w:r>
      <w:r w:rsidR="00567C49">
        <w:rPr>
          <w:noProof/>
          <w:lang w:val="en-US"/>
        </w:rPr>
        <w:t>A</w:t>
      </w:r>
      <w:r w:rsidRPr="00AF5796">
        <w:rPr>
          <w:noProof/>
          <w:lang w:val="en-US" w:eastAsia="zh-CN"/>
        </w:rPr>
        <w:t>3.3</w:t>
      </w:r>
    </w:p>
    <w:p w:rsidR="005D2DA7" w:rsidRPr="00AF5796" w:rsidRDefault="005D2DA7" w:rsidP="00005718">
      <w:pPr>
        <w:pStyle w:val="Figuretitle"/>
        <w:rPr>
          <w:lang w:val="en-US" w:eastAsia="zh-CN"/>
        </w:rPr>
      </w:pPr>
      <w:r w:rsidRPr="00AF5796">
        <w:rPr>
          <w:lang w:val="en-US" w:eastAsia="zh-CN"/>
        </w:rPr>
        <w:t>Application Traffic Daily Profile in Western Europe (2020)</w:t>
      </w:r>
    </w:p>
    <w:p w:rsidR="005D2DA7" w:rsidRPr="00AF5796" w:rsidRDefault="005D2DA7" w:rsidP="00B74F07">
      <w:pPr>
        <w:pStyle w:val="Figure"/>
        <w:rPr>
          <w:lang w:val="en-US" w:eastAsia="zh-CN"/>
        </w:rPr>
      </w:pPr>
      <w:r w:rsidRPr="00AF5796">
        <w:rPr>
          <w:noProof/>
          <w:lang w:val="en-US" w:eastAsia="zh-CN"/>
        </w:rPr>
        <w:drawing>
          <wp:inline distT="0" distB="0" distL="0" distR="0" wp14:anchorId="7F1B5788" wp14:editId="56F9F4E4">
            <wp:extent cx="4895850" cy="249555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890853" cy="2493003"/>
                    </a:xfrm>
                    <a:prstGeom prst="rect">
                      <a:avLst/>
                    </a:prstGeom>
                    <a:noFill/>
                    <a:ln w="9525">
                      <a:noFill/>
                      <a:miter lim="800000"/>
                      <a:headEnd/>
                      <a:tailEnd/>
                    </a:ln>
                  </pic:spPr>
                </pic:pic>
              </a:graphicData>
            </a:graphic>
          </wp:inline>
        </w:drawing>
      </w:r>
    </w:p>
    <w:p w:rsidR="005D2DA7" w:rsidRPr="00AF5796" w:rsidRDefault="005D2DA7" w:rsidP="00606D45">
      <w:pPr>
        <w:rPr>
          <w:lang w:val="en-US" w:eastAsia="zh-CN"/>
        </w:rPr>
      </w:pPr>
      <w:r w:rsidRPr="00AF5796">
        <w:rPr>
          <w:lang w:val="en-US" w:eastAsia="zh-CN"/>
        </w:rPr>
        <w:t xml:space="preserve">In Central </w:t>
      </w:r>
      <w:r w:rsidR="00606D45">
        <w:rPr>
          <w:lang w:val="en-US" w:eastAsia="zh-CN"/>
        </w:rPr>
        <w:t>and</w:t>
      </w:r>
      <w:r w:rsidRPr="00AF5796">
        <w:rPr>
          <w:lang w:val="en-US" w:eastAsia="zh-CN"/>
        </w:rPr>
        <w:t xml:space="preserve"> Eastern Europe (CEE), the average usage of data subscribers is growing fast, catching up with the high levels in NAR and WE. The slight lag and the lack of strong broadband penetration explain the stronger computing component, as seen in </w:t>
      </w:r>
      <w:r w:rsidR="00207607" w:rsidRPr="00AF5796">
        <w:rPr>
          <w:lang w:val="en-US" w:eastAsia="zh-CN"/>
        </w:rPr>
        <w:t>Fig.</w:t>
      </w:r>
      <w:r w:rsidRPr="00AF5796">
        <w:rPr>
          <w:lang w:val="en-US" w:eastAsia="zh-CN"/>
        </w:rPr>
        <w:t xml:space="preserve"> </w:t>
      </w:r>
      <w:r w:rsidR="00567C49">
        <w:rPr>
          <w:lang w:val="en-US" w:eastAsia="zh-CN"/>
        </w:rPr>
        <w:t>A</w:t>
      </w:r>
      <w:r w:rsidRPr="00AF5796">
        <w:rPr>
          <w:lang w:val="en-US" w:eastAsia="zh-CN"/>
        </w:rPr>
        <w:t>3.4. It should be noted that this profile represents the whole region (wide variations exist country-by-country).</w:t>
      </w:r>
    </w:p>
    <w:p w:rsidR="005D2DA7" w:rsidRPr="00AF5796" w:rsidRDefault="005D2DA7" w:rsidP="005D2DA7">
      <w:pPr>
        <w:pStyle w:val="FigureNo"/>
        <w:rPr>
          <w:lang w:val="en-US" w:eastAsia="zh-CN"/>
        </w:rPr>
      </w:pPr>
      <w:r w:rsidRPr="00AF5796">
        <w:rPr>
          <w:lang w:val="en-US"/>
        </w:rPr>
        <w:t>Figure</w:t>
      </w:r>
      <w:r w:rsidRPr="00AF5796">
        <w:rPr>
          <w:noProof/>
          <w:lang w:val="en-US"/>
        </w:rPr>
        <w:t xml:space="preserve"> </w:t>
      </w:r>
      <w:r w:rsidR="00567C49">
        <w:rPr>
          <w:noProof/>
          <w:lang w:val="en-US"/>
        </w:rPr>
        <w:t>A</w:t>
      </w:r>
      <w:r w:rsidRPr="00AF5796">
        <w:rPr>
          <w:noProof/>
          <w:lang w:val="en-US" w:eastAsia="zh-CN"/>
        </w:rPr>
        <w:t>3.4</w:t>
      </w:r>
    </w:p>
    <w:p w:rsidR="005D2DA7" w:rsidRPr="00AF5796" w:rsidRDefault="005D2DA7" w:rsidP="00B74F07">
      <w:pPr>
        <w:pStyle w:val="Figuretitle"/>
        <w:rPr>
          <w:lang w:val="en-US" w:eastAsia="zh-CN"/>
        </w:rPr>
      </w:pPr>
      <w:r w:rsidRPr="00AF5796">
        <w:rPr>
          <w:lang w:val="en-US" w:eastAsia="zh-CN"/>
        </w:rPr>
        <w:t>Application Traffic Daily Profile in Central &amp; Eastern Europe (2020)</w:t>
      </w:r>
    </w:p>
    <w:p w:rsidR="005D2DA7" w:rsidRPr="00AF5796" w:rsidRDefault="005D2DA7" w:rsidP="00B74F07">
      <w:pPr>
        <w:pStyle w:val="Figure"/>
        <w:rPr>
          <w:lang w:val="en-US" w:eastAsia="zh-CN"/>
        </w:rPr>
      </w:pPr>
      <w:r w:rsidRPr="00AF5796">
        <w:rPr>
          <w:noProof/>
          <w:lang w:val="en-US" w:eastAsia="zh-CN"/>
        </w:rPr>
        <w:drawing>
          <wp:inline distT="0" distB="0" distL="0" distR="0" wp14:anchorId="4E34ABAA" wp14:editId="55AA749E">
            <wp:extent cx="4781550" cy="262476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780734" cy="2624317"/>
                    </a:xfrm>
                    <a:prstGeom prst="rect">
                      <a:avLst/>
                    </a:prstGeom>
                    <a:noFill/>
                    <a:ln w="9525">
                      <a:noFill/>
                      <a:miter lim="800000"/>
                      <a:headEnd/>
                      <a:tailEnd/>
                    </a:ln>
                  </pic:spPr>
                </pic:pic>
              </a:graphicData>
            </a:graphic>
          </wp:inline>
        </w:drawing>
      </w:r>
    </w:p>
    <w:p w:rsidR="005D2DA7" w:rsidRPr="00AF5796" w:rsidRDefault="005D2DA7" w:rsidP="005D2DA7">
      <w:pPr>
        <w:rPr>
          <w:lang w:val="en-US"/>
        </w:rPr>
      </w:pPr>
      <w:r w:rsidRPr="00AF5796">
        <w:rPr>
          <w:lang w:val="en-US"/>
        </w:rPr>
        <w:t>The other Regions (Latin America, Asia Pacific) show similar patterns.</w:t>
      </w:r>
    </w:p>
    <w:p w:rsidR="005D2DA7" w:rsidRPr="00AF5796" w:rsidRDefault="005D2DA7" w:rsidP="005D2DA7">
      <w:pPr>
        <w:rPr>
          <w:lang w:val="en-US"/>
        </w:rPr>
      </w:pPr>
      <w:r w:rsidRPr="00AF5796">
        <w:rPr>
          <w:lang w:val="en-US" w:eastAsia="zh-CN"/>
        </w:rPr>
        <w:t>Another time-related factor which influences subscriber’s traffic profile</w:t>
      </w:r>
      <w:r w:rsidR="006B7388" w:rsidRPr="00AF5796">
        <w:rPr>
          <w:lang w:val="en-US" w:eastAsia="zh-CN"/>
        </w:rPr>
        <w:t xml:space="preserve"> is important holidays, e.g. </w:t>
      </w:r>
      <w:r w:rsidRPr="00AF5796">
        <w:rPr>
          <w:lang w:val="en-US" w:eastAsia="zh-CN"/>
        </w:rPr>
        <w:t>New Year eve, in which tremendous traffic increase would be generated due to the traditional celebration activities. For example, data from</w:t>
      </w:r>
      <w:r w:rsidR="00DD28C3" w:rsidRPr="00AF5796">
        <w:rPr>
          <w:lang w:val="en-US" w:eastAsia="zh-CN"/>
        </w:rPr>
        <w:t xml:space="preserve"> Global Internet</w:t>
      </w:r>
      <w:r w:rsidRPr="00AF5796">
        <w:rPr>
          <w:rStyle w:val="FootnoteReference"/>
          <w:lang w:val="en-US" w:eastAsia="zh-CN"/>
        </w:rPr>
        <w:footnoteReference w:id="41"/>
      </w:r>
      <w:r w:rsidRPr="00AF5796">
        <w:rPr>
          <w:lang w:val="en-US" w:eastAsia="zh-CN"/>
        </w:rPr>
        <w:t xml:space="preserve"> shows that at 12:00 am the application Snapchat accounted for 12% of the one network’s total traffic in NAR, </w:t>
      </w:r>
      <w:r w:rsidR="00207607" w:rsidRPr="00AF5796">
        <w:rPr>
          <w:lang w:val="en-US" w:eastAsia="zh-CN"/>
        </w:rPr>
        <w:t>Fig.</w:t>
      </w:r>
      <w:r w:rsidRPr="00AF5796">
        <w:rPr>
          <w:lang w:val="en-US" w:eastAsia="zh-CN"/>
        </w:rPr>
        <w:t xml:space="preserve"> </w:t>
      </w:r>
      <w:r w:rsidR="00567C49">
        <w:rPr>
          <w:lang w:val="en-US" w:eastAsia="zh-CN"/>
        </w:rPr>
        <w:t>A</w:t>
      </w:r>
      <w:r w:rsidRPr="00AF5796">
        <w:rPr>
          <w:lang w:val="en-US" w:eastAsia="zh-CN"/>
        </w:rPr>
        <w:t>3.5.</w:t>
      </w:r>
    </w:p>
    <w:p w:rsidR="005D2DA7" w:rsidRPr="00AF5796" w:rsidRDefault="005D2DA7" w:rsidP="005D2DA7">
      <w:pPr>
        <w:pStyle w:val="FigureNo"/>
        <w:rPr>
          <w:lang w:val="en-US" w:eastAsia="zh-CN"/>
        </w:rPr>
      </w:pPr>
      <w:r w:rsidRPr="00AF5796">
        <w:rPr>
          <w:lang w:val="en-US"/>
        </w:rPr>
        <w:lastRenderedPageBreak/>
        <w:t>Figure</w:t>
      </w:r>
      <w:r w:rsidRPr="00AF5796">
        <w:rPr>
          <w:noProof/>
          <w:lang w:val="en-US"/>
        </w:rPr>
        <w:t xml:space="preserve"> </w:t>
      </w:r>
      <w:r w:rsidR="00567C49">
        <w:rPr>
          <w:noProof/>
          <w:lang w:val="en-US"/>
        </w:rPr>
        <w:t>A</w:t>
      </w:r>
      <w:r w:rsidRPr="00AF5796">
        <w:rPr>
          <w:noProof/>
          <w:lang w:val="en-US" w:eastAsia="zh-CN"/>
        </w:rPr>
        <w:t>3.5</w:t>
      </w:r>
    </w:p>
    <w:p w:rsidR="005D2DA7" w:rsidRPr="00AF5796" w:rsidRDefault="005D2DA7" w:rsidP="005D2DA7">
      <w:pPr>
        <w:pStyle w:val="Figuretitle"/>
        <w:rPr>
          <w:lang w:val="en-US" w:eastAsia="zh-CN"/>
        </w:rPr>
      </w:pPr>
      <w:r w:rsidRPr="00AF5796">
        <w:rPr>
          <w:lang w:val="en-US"/>
        </w:rPr>
        <w:t>Snapchat traffic distribution in North America region in New Year’s Eve</w:t>
      </w:r>
    </w:p>
    <w:p w:rsidR="005D2DA7" w:rsidRPr="00AF5796" w:rsidRDefault="005D2DA7" w:rsidP="005D2DA7">
      <w:pPr>
        <w:pStyle w:val="Figure"/>
        <w:rPr>
          <w:lang w:val="en-US" w:eastAsia="zh-CN"/>
        </w:rPr>
      </w:pPr>
      <w:r w:rsidRPr="00AF5796">
        <w:rPr>
          <w:noProof/>
          <w:lang w:val="en-US" w:eastAsia="zh-CN"/>
        </w:rPr>
        <w:drawing>
          <wp:inline distT="0" distB="0" distL="0" distR="0" wp14:anchorId="0748C5C4" wp14:editId="0DD7A70E">
            <wp:extent cx="4600575" cy="1961111"/>
            <wp:effectExtent l="19050" t="0" r="952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600575" cy="1961111"/>
                    </a:xfrm>
                    <a:prstGeom prst="rect">
                      <a:avLst/>
                    </a:prstGeom>
                    <a:noFill/>
                    <a:ln w="9525">
                      <a:noFill/>
                      <a:miter lim="800000"/>
                      <a:headEnd/>
                      <a:tailEnd/>
                    </a:ln>
                  </pic:spPr>
                </pic:pic>
              </a:graphicData>
            </a:graphic>
          </wp:inline>
        </w:drawing>
      </w:r>
    </w:p>
    <w:p w:rsidR="005D2DA7" w:rsidRPr="00AF5796" w:rsidRDefault="005D2DA7" w:rsidP="00567C49">
      <w:pPr>
        <w:rPr>
          <w:lang w:val="en-US" w:eastAsia="zh-CN"/>
        </w:rPr>
      </w:pPr>
      <w:r w:rsidRPr="00AF5796">
        <w:rPr>
          <w:lang w:val="en-US" w:eastAsia="zh-CN"/>
        </w:rPr>
        <w:t xml:space="preserve">In terms of application usage behaviour, we can also see that each subscriber may have quite different application usage habits. </w:t>
      </w:r>
      <w:r w:rsidR="00207607" w:rsidRPr="00AF5796">
        <w:rPr>
          <w:lang w:val="en-US" w:eastAsia="zh-CN"/>
        </w:rPr>
        <w:t>Fig</w:t>
      </w:r>
      <w:r w:rsidR="00567C49">
        <w:rPr>
          <w:lang w:val="en-US" w:eastAsia="zh-CN"/>
        </w:rPr>
        <w:t>ure</w:t>
      </w:r>
      <w:r w:rsidRPr="00AF5796">
        <w:rPr>
          <w:lang w:val="en-US" w:eastAsia="zh-CN"/>
        </w:rPr>
        <w:t xml:space="preserve"> </w:t>
      </w:r>
      <w:r w:rsidR="00567C49">
        <w:rPr>
          <w:lang w:val="en-US" w:eastAsia="zh-CN"/>
        </w:rPr>
        <w:t>A</w:t>
      </w:r>
      <w:r w:rsidRPr="00AF5796">
        <w:rPr>
          <w:lang w:val="en-US" w:eastAsia="zh-CN"/>
        </w:rPr>
        <w:t xml:space="preserve">3.6 </w:t>
      </w:r>
      <w:r w:rsidRPr="00AF5796">
        <w:rPr>
          <w:rStyle w:val="FootnoteReference"/>
          <w:lang w:val="en-US" w:eastAsia="zh-CN"/>
        </w:rPr>
        <w:footnoteReference w:id="42"/>
      </w:r>
      <w:r w:rsidRPr="00AF5796">
        <w:rPr>
          <w:lang w:val="en-US" w:eastAsia="zh-CN"/>
        </w:rPr>
        <w:t xml:space="preserve"> illustrates the Chinese case; about 2% subscribers consume more than 50% mobile traffic, while on the contrary, 80% subscribers generate less than 10% traffic. In the meantime, subscribers may change the application in different time periods, which is already shown in </w:t>
      </w:r>
      <w:r w:rsidR="0029004C" w:rsidRPr="00AF5796">
        <w:rPr>
          <w:lang w:val="en-US" w:eastAsia="zh-CN"/>
        </w:rPr>
        <w:t>Fig</w:t>
      </w:r>
      <w:r w:rsidRPr="00AF5796">
        <w:rPr>
          <w:lang w:val="en-US" w:eastAsia="zh-CN"/>
        </w:rPr>
        <w:t xml:space="preserve">s </w:t>
      </w:r>
      <w:r w:rsidR="00567C49">
        <w:rPr>
          <w:lang w:val="en-US" w:eastAsia="zh-CN"/>
        </w:rPr>
        <w:t>A</w:t>
      </w:r>
      <w:r w:rsidRPr="00AF5796">
        <w:rPr>
          <w:lang w:val="en-US" w:eastAsia="zh-CN"/>
        </w:rPr>
        <w:t xml:space="preserve">3.2 to </w:t>
      </w:r>
      <w:r w:rsidR="00567C49">
        <w:rPr>
          <w:lang w:val="en-US" w:eastAsia="zh-CN"/>
        </w:rPr>
        <w:t>A</w:t>
      </w:r>
      <w:r w:rsidRPr="00AF5796">
        <w:rPr>
          <w:lang w:val="en-US" w:eastAsia="zh-CN"/>
        </w:rPr>
        <w:t>3.4. Such behaviour observed would also lead to non-uniform and varying traffic volume, as well as asymmetry distribution, bo</w:t>
      </w:r>
      <w:r w:rsidR="005350CF" w:rsidRPr="00AF5796">
        <w:rPr>
          <w:lang w:val="en-US" w:eastAsia="zh-CN"/>
        </w:rPr>
        <w:t>th in the space and time domain.</w:t>
      </w:r>
    </w:p>
    <w:p w:rsidR="005D2DA7" w:rsidRPr="00AF5796" w:rsidRDefault="005D2DA7" w:rsidP="005D2DA7">
      <w:pPr>
        <w:pStyle w:val="FigureNo"/>
        <w:rPr>
          <w:lang w:val="en-US" w:eastAsia="zh-CN"/>
        </w:rPr>
      </w:pPr>
      <w:r w:rsidRPr="00AF5796">
        <w:rPr>
          <w:lang w:val="en-US"/>
        </w:rPr>
        <w:t>Figure</w:t>
      </w:r>
      <w:r w:rsidRPr="00AF5796">
        <w:rPr>
          <w:noProof/>
          <w:lang w:val="en-US"/>
        </w:rPr>
        <w:t xml:space="preserve"> </w:t>
      </w:r>
      <w:r w:rsidR="00567C49">
        <w:rPr>
          <w:noProof/>
          <w:lang w:val="en-US"/>
        </w:rPr>
        <w:t>A</w:t>
      </w:r>
      <w:r w:rsidRPr="00AF5796">
        <w:rPr>
          <w:noProof/>
          <w:lang w:val="en-US" w:eastAsia="zh-CN"/>
        </w:rPr>
        <w:t>3.6</w:t>
      </w:r>
    </w:p>
    <w:p w:rsidR="005D2DA7" w:rsidRPr="00AF5796" w:rsidRDefault="005D2DA7" w:rsidP="005D2DA7">
      <w:pPr>
        <w:pStyle w:val="Figuretitle"/>
        <w:spacing w:after="240"/>
        <w:rPr>
          <w:noProof/>
          <w:lang w:val="en-US" w:eastAsia="zh-CN"/>
        </w:rPr>
      </w:pPr>
      <w:r w:rsidRPr="00AF5796">
        <w:rPr>
          <w:lang w:val="en-US" w:eastAsia="zh-CN"/>
        </w:rPr>
        <w:t>Subscriber and traffic distribution</w:t>
      </w:r>
    </w:p>
    <w:p w:rsidR="005D2DA7" w:rsidRPr="00AF5796" w:rsidRDefault="005D2DA7" w:rsidP="005D2DA7">
      <w:pPr>
        <w:pStyle w:val="Figure"/>
        <w:rPr>
          <w:lang w:val="en-US" w:eastAsia="zh-CN"/>
        </w:rPr>
      </w:pPr>
      <w:r w:rsidRPr="00AF5796">
        <w:rPr>
          <w:noProof/>
          <w:lang w:val="en-US" w:eastAsia="zh-CN"/>
        </w:rPr>
        <w:drawing>
          <wp:inline distT="0" distB="0" distL="0" distR="0" wp14:anchorId="25307611" wp14:editId="4F2E2392">
            <wp:extent cx="5098139" cy="2902226"/>
            <wp:effectExtent l="19050" t="0" r="26311" b="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D2DA7" w:rsidRPr="00AF5796" w:rsidRDefault="004E063E" w:rsidP="00402590">
      <w:pPr>
        <w:pStyle w:val="Note"/>
        <w:rPr>
          <w:rFonts w:eastAsiaTheme="minorEastAsia"/>
          <w:lang w:val="en-US" w:eastAsia="zh-CN"/>
        </w:rPr>
      </w:pPr>
      <w:r w:rsidRPr="00AF5796">
        <w:rPr>
          <w:rFonts w:eastAsiaTheme="minorEastAsia"/>
          <w:szCs w:val="24"/>
          <w:lang w:val="en-US" w:eastAsia="zh-CN"/>
        </w:rPr>
        <w:t xml:space="preserve">NOTE </w:t>
      </w:r>
      <w:r w:rsidR="00402590">
        <w:rPr>
          <w:rFonts w:eastAsiaTheme="minorEastAsia"/>
          <w:szCs w:val="24"/>
          <w:lang w:val="en-US" w:eastAsia="zh-CN"/>
        </w:rPr>
        <w:t xml:space="preserve">1 </w:t>
      </w:r>
      <w:r w:rsidRPr="00AF5796">
        <w:rPr>
          <w:rFonts w:eastAsiaTheme="minorEastAsia"/>
          <w:szCs w:val="24"/>
          <w:lang w:val="en-US" w:eastAsia="zh-CN"/>
        </w:rPr>
        <w:t xml:space="preserve">– </w:t>
      </w:r>
      <w:r w:rsidR="005D2DA7" w:rsidRPr="00AF5796">
        <w:rPr>
          <w:rFonts w:eastAsiaTheme="minorEastAsia"/>
          <w:b/>
          <w:lang w:val="en-US" w:eastAsia="zh-CN"/>
        </w:rPr>
        <w:t>Subscriber ratio</w:t>
      </w:r>
      <w:r w:rsidR="005D2DA7" w:rsidRPr="00AF5796">
        <w:rPr>
          <w:rFonts w:eastAsiaTheme="minorEastAsia"/>
          <w:lang w:val="en-US" w:eastAsia="zh-CN"/>
        </w:rPr>
        <w:t xml:space="preserve"> means the number of subscribers that consumes specific amount of data (in busy hour) relative to the total number of subscribers. For example, the blue bars for “0</w:t>
      </w:r>
      <w:r w:rsidR="005D2DA7" w:rsidRPr="00AF5796">
        <w:rPr>
          <w:rFonts w:eastAsiaTheme="minorEastAsia"/>
          <w:lang w:val="en-US" w:eastAsia="zh-CN"/>
        </w:rPr>
        <w:noBreakHyphen/>
        <w:t>1K” means the number of subscribers that consumes 0-1K bytes is 17% compared to the total number of subscribers.</w:t>
      </w:r>
    </w:p>
    <w:p w:rsidR="005D2DA7" w:rsidRPr="00AF5796" w:rsidRDefault="004E063E" w:rsidP="00066231">
      <w:pPr>
        <w:pStyle w:val="Note"/>
        <w:rPr>
          <w:rFonts w:eastAsiaTheme="minorEastAsia"/>
          <w:lang w:val="en-US" w:eastAsia="zh-CN"/>
        </w:rPr>
      </w:pPr>
      <w:r w:rsidRPr="00AF5796">
        <w:rPr>
          <w:rFonts w:eastAsiaTheme="minorEastAsia"/>
          <w:bCs/>
          <w:lang w:val="en-US" w:eastAsia="zh-CN"/>
        </w:rPr>
        <w:t>NOTE</w:t>
      </w:r>
      <w:r w:rsidRPr="00AF5796">
        <w:rPr>
          <w:rFonts w:eastAsiaTheme="minorEastAsia"/>
          <w:b/>
          <w:lang w:val="en-US" w:eastAsia="zh-CN"/>
        </w:rPr>
        <w:t xml:space="preserve"> </w:t>
      </w:r>
      <w:r w:rsidR="00402590" w:rsidRPr="00402590">
        <w:rPr>
          <w:rFonts w:eastAsiaTheme="minorEastAsia"/>
          <w:bCs/>
          <w:lang w:val="en-US" w:eastAsia="zh-CN"/>
        </w:rPr>
        <w:t xml:space="preserve">2 </w:t>
      </w:r>
      <w:r w:rsidRPr="00AF5796">
        <w:rPr>
          <w:rFonts w:eastAsiaTheme="minorEastAsia"/>
          <w:b/>
          <w:lang w:val="en-US" w:eastAsia="zh-CN"/>
        </w:rPr>
        <w:t>–</w:t>
      </w:r>
      <w:r w:rsidRPr="00402590">
        <w:rPr>
          <w:rFonts w:eastAsiaTheme="minorEastAsia"/>
          <w:bCs/>
          <w:lang w:val="en-US" w:eastAsia="zh-CN"/>
        </w:rPr>
        <w:t xml:space="preserve"> </w:t>
      </w:r>
      <w:r w:rsidR="005D2DA7" w:rsidRPr="00AF5796">
        <w:rPr>
          <w:rFonts w:eastAsiaTheme="minorEastAsia"/>
          <w:b/>
          <w:lang w:val="en-US" w:eastAsia="zh-CN"/>
        </w:rPr>
        <w:t>Traffic ratio</w:t>
      </w:r>
      <w:r w:rsidR="005D2DA7" w:rsidRPr="00AF5796">
        <w:rPr>
          <w:rFonts w:eastAsiaTheme="minorEastAsia"/>
          <w:lang w:val="en-US" w:eastAsia="zh-CN"/>
        </w:rPr>
        <w:t xml:space="preserve"> means the traffic amount of the subscribers that consumes specific amount of data, relative to the total amount of traffic. For example, the red bars for “1M-10M” means the traffic amount of subscribers that consumes 1M-10M bytes is 38% compared to the total traffic amount.</w:t>
      </w:r>
    </w:p>
    <w:p w:rsidR="005D2DA7" w:rsidRPr="00AF5796" w:rsidRDefault="00D127A5" w:rsidP="00D127A5">
      <w:pPr>
        <w:pStyle w:val="AnnexNoTitle"/>
        <w:rPr>
          <w:rStyle w:val="Emphasis"/>
          <w:lang w:val="en-US"/>
        </w:rPr>
      </w:pPr>
      <w:bookmarkStart w:id="60" w:name="_Toc427935125"/>
      <w:r w:rsidRPr="00AF5796">
        <w:rPr>
          <w:rFonts w:eastAsia="Calibri"/>
          <w:lang w:val="en-US"/>
        </w:rPr>
        <w:lastRenderedPageBreak/>
        <w:t xml:space="preserve">Annex </w:t>
      </w:r>
      <w:r w:rsidR="005D2DA7" w:rsidRPr="00AF5796">
        <w:rPr>
          <w:rFonts w:eastAsia="Calibri"/>
          <w:lang w:val="en-US"/>
        </w:rPr>
        <w:t>4</w:t>
      </w:r>
      <w:r w:rsidRPr="00AF5796">
        <w:rPr>
          <w:rFonts w:eastAsia="Calibri"/>
          <w:lang w:val="en-US"/>
        </w:rPr>
        <w:br/>
      </w:r>
      <w:r w:rsidRPr="00AF5796">
        <w:rPr>
          <w:rFonts w:eastAsia="Calibri"/>
          <w:lang w:val="en-US"/>
        </w:rPr>
        <w:br/>
      </w:r>
      <w:r w:rsidR="005D2DA7" w:rsidRPr="00AF5796">
        <w:rPr>
          <w:lang w:val="en-US" w:eastAsia="zh-CN"/>
        </w:rPr>
        <w:t>Traffic characteristics of future applications supported by IMT</w:t>
      </w:r>
      <w:r w:rsidR="005D2DA7" w:rsidRPr="00AF5796">
        <w:rPr>
          <w:rStyle w:val="FootnoteReference"/>
          <w:rFonts w:ascii="Times New Roman Bold" w:hAnsi="Times New Roman Bold"/>
          <w:b w:val="0"/>
          <w:lang w:val="en-US" w:eastAsia="zh-CN"/>
        </w:rPr>
        <w:footnoteReference w:id="43"/>
      </w:r>
      <w:bookmarkEnd w:id="60"/>
    </w:p>
    <w:p w:rsidR="005D2DA7" w:rsidRPr="00AF5796" w:rsidRDefault="005D2DA7" w:rsidP="00467C49">
      <w:pPr>
        <w:pStyle w:val="Heading2"/>
        <w:rPr>
          <w:lang w:val="en-US"/>
        </w:rPr>
      </w:pPr>
      <w:bookmarkStart w:id="61" w:name="_Toc427932313"/>
      <w:bookmarkStart w:id="62" w:name="_Toc427935126"/>
      <w:r w:rsidRPr="00AF5796">
        <w:rPr>
          <w:lang w:val="en-US"/>
        </w:rPr>
        <w:t>A4.1</w:t>
      </w:r>
      <w:r w:rsidRPr="00AF5796">
        <w:rPr>
          <w:lang w:val="en-US"/>
        </w:rPr>
        <w:tab/>
        <w:t>Introduction</w:t>
      </w:r>
      <w:bookmarkEnd w:id="61"/>
      <w:bookmarkEnd w:id="62"/>
    </w:p>
    <w:p w:rsidR="005D2DA7" w:rsidRPr="00AF5796" w:rsidRDefault="005D2DA7" w:rsidP="00606D45">
      <w:pPr>
        <w:rPr>
          <w:szCs w:val="24"/>
          <w:lang w:val="en-US" w:eastAsia="ja-JP"/>
        </w:rPr>
      </w:pPr>
      <w:r w:rsidRPr="00AF5796">
        <w:rPr>
          <w:szCs w:val="24"/>
          <w:lang w:val="en-US" w:eastAsia="ja-JP"/>
        </w:rPr>
        <w:t>Future IMT is envisaged to support an increasingly diverse range of use cases, greater</w:t>
      </w:r>
      <w:r w:rsidRPr="00AF5796">
        <w:rPr>
          <w:szCs w:val="24"/>
          <w:lang w:val="en-US"/>
        </w:rPr>
        <w:t xml:space="preserve"> </w:t>
      </w:r>
      <w:r w:rsidRPr="00AF5796">
        <w:rPr>
          <w:szCs w:val="24"/>
          <w:lang w:val="en-US" w:eastAsia="ja-JP"/>
        </w:rPr>
        <w:t>than for IMT</w:t>
      </w:r>
      <w:r w:rsidRPr="00AF5796">
        <w:rPr>
          <w:szCs w:val="24"/>
          <w:lang w:val="en-US" w:eastAsia="ja-JP"/>
        </w:rPr>
        <w:noBreakHyphen/>
        <w:t>Advanced, which will require a wide range of capabilities. Recommend</w:t>
      </w:r>
      <w:r w:rsidR="00606D45">
        <w:rPr>
          <w:szCs w:val="24"/>
          <w:lang w:val="en-US" w:eastAsia="ja-JP"/>
        </w:rPr>
        <w:t xml:space="preserve">ation ITU-R </w:t>
      </w:r>
      <w:r w:rsidR="009A1C5D">
        <w:rPr>
          <w:szCs w:val="24"/>
          <w:lang w:val="en-US" w:eastAsia="ja-JP"/>
        </w:rPr>
        <w:t>M.2083</w:t>
      </w:r>
      <w:r w:rsidR="00606D45">
        <w:rPr>
          <w:szCs w:val="24"/>
          <w:lang w:val="en-US" w:eastAsia="ja-JP"/>
        </w:rPr>
        <w:t>-0</w:t>
      </w:r>
      <w:r w:rsidRPr="00AF5796">
        <w:rPr>
          <w:szCs w:val="24"/>
          <w:lang w:val="en-US" w:eastAsia="ja-JP"/>
        </w:rPr>
        <w:t xml:space="preserve"> describes the key capabilities of IMT-2020, and gives an overview of their importance in some usage scenarios.</w:t>
      </w:r>
      <w:r w:rsidRPr="00AF5796">
        <w:rPr>
          <w:szCs w:val="24"/>
          <w:lang w:val="en-US"/>
        </w:rPr>
        <w:t xml:space="preserve"> </w:t>
      </w:r>
      <w:r w:rsidRPr="00AF5796">
        <w:rPr>
          <w:szCs w:val="24"/>
          <w:lang w:val="en-US" w:eastAsia="ja-JP"/>
        </w:rPr>
        <w:t>However, the values needed for these capabilities differ from scenario to scenario, to serve diverse use cases.</w:t>
      </w:r>
    </w:p>
    <w:p w:rsidR="005D2DA7" w:rsidRPr="00AF5796" w:rsidRDefault="005D2DA7" w:rsidP="005D2DA7">
      <w:pPr>
        <w:rPr>
          <w:lang w:val="en-US"/>
        </w:rPr>
      </w:pPr>
      <w:r w:rsidRPr="00AF5796">
        <w:rPr>
          <w:lang w:val="en-US" w:eastAsia="ja-JP"/>
        </w:rPr>
        <w:t xml:space="preserve">This Annex considers the traffic characteristics and other capabilities for a wide range of use cases. </w:t>
      </w:r>
      <w:r w:rsidRPr="00AF5796">
        <w:rPr>
          <w:lang w:val="en-US"/>
        </w:rPr>
        <w:t>These use cases have been merged into five groups of related applications that have similar needs in terms of traffic characteristics and other capabilities:</w:t>
      </w:r>
    </w:p>
    <w:p w:rsidR="005D2DA7" w:rsidRPr="00AF5796" w:rsidRDefault="00DD28C3" w:rsidP="002A1854">
      <w:pPr>
        <w:pStyle w:val="enumlev1"/>
        <w:rPr>
          <w:lang w:val="en-US"/>
        </w:rPr>
      </w:pPr>
      <w:r w:rsidRPr="00AF5796">
        <w:rPr>
          <w:lang w:val="en-US"/>
        </w:rPr>
        <w:t>•</w:t>
      </w:r>
      <w:r w:rsidRPr="00AF5796">
        <w:rPr>
          <w:lang w:val="en-US"/>
        </w:rPr>
        <w:tab/>
      </w:r>
      <w:r w:rsidR="00467C49" w:rsidRPr="00AF5796">
        <w:rPr>
          <w:lang w:val="en-US"/>
        </w:rPr>
        <w:t>Voice and data applications</w:t>
      </w:r>
    </w:p>
    <w:p w:rsidR="005D2DA7" w:rsidRPr="00AF5796" w:rsidRDefault="00DD28C3" w:rsidP="002A1854">
      <w:pPr>
        <w:pStyle w:val="enumlev1"/>
        <w:rPr>
          <w:lang w:val="en-US"/>
        </w:rPr>
      </w:pPr>
      <w:r w:rsidRPr="00AF5796">
        <w:rPr>
          <w:lang w:val="en-US"/>
        </w:rPr>
        <w:t>•</w:t>
      </w:r>
      <w:r w:rsidRPr="00AF5796">
        <w:rPr>
          <w:lang w:val="en-US"/>
        </w:rPr>
        <w:tab/>
      </w:r>
      <w:r w:rsidR="00467C49" w:rsidRPr="00AF5796">
        <w:rPr>
          <w:lang w:val="en-US"/>
        </w:rPr>
        <w:t>Multimedia applications</w:t>
      </w:r>
    </w:p>
    <w:p w:rsidR="005D2DA7" w:rsidRPr="00AF5796" w:rsidRDefault="00DD28C3" w:rsidP="002A1854">
      <w:pPr>
        <w:pStyle w:val="enumlev1"/>
        <w:rPr>
          <w:lang w:val="en-US"/>
        </w:rPr>
      </w:pPr>
      <w:r w:rsidRPr="00AF5796">
        <w:rPr>
          <w:lang w:val="en-US"/>
        </w:rPr>
        <w:t>•</w:t>
      </w:r>
      <w:r w:rsidRPr="00AF5796">
        <w:rPr>
          <w:lang w:val="en-US"/>
        </w:rPr>
        <w:tab/>
      </w:r>
      <w:r w:rsidR="005D2DA7" w:rsidRPr="00AF5796">
        <w:rPr>
          <w:lang w:val="en-US"/>
        </w:rPr>
        <w:t xml:space="preserve">Internet of </w:t>
      </w:r>
      <w:r w:rsidRPr="00AF5796">
        <w:rPr>
          <w:lang w:val="en-US"/>
        </w:rPr>
        <w:t xml:space="preserve">things </w:t>
      </w:r>
      <w:r w:rsidR="005D2DA7" w:rsidRPr="00AF5796">
        <w:rPr>
          <w:lang w:val="en-US"/>
        </w:rPr>
        <w:t xml:space="preserve">and </w:t>
      </w:r>
      <w:r w:rsidRPr="00AF5796">
        <w:rPr>
          <w:lang w:val="en-US"/>
        </w:rPr>
        <w:t>machine</w:t>
      </w:r>
      <w:r w:rsidR="005D2DA7" w:rsidRPr="00AF5796">
        <w:rPr>
          <w:lang w:val="en-US"/>
        </w:rPr>
        <w:t>-to-</w:t>
      </w:r>
      <w:r w:rsidRPr="00AF5796">
        <w:rPr>
          <w:lang w:val="en-US"/>
        </w:rPr>
        <w:t xml:space="preserve">machine </w:t>
      </w:r>
      <w:r w:rsidR="00467C49" w:rsidRPr="00AF5796">
        <w:rPr>
          <w:lang w:val="en-US"/>
        </w:rPr>
        <w:t>applications</w:t>
      </w:r>
    </w:p>
    <w:p w:rsidR="005D2DA7" w:rsidRPr="00AF5796" w:rsidRDefault="00DD28C3" w:rsidP="002A1854">
      <w:pPr>
        <w:pStyle w:val="enumlev1"/>
        <w:rPr>
          <w:lang w:val="en-US"/>
        </w:rPr>
      </w:pPr>
      <w:r w:rsidRPr="00AF5796">
        <w:rPr>
          <w:lang w:val="en-US"/>
        </w:rPr>
        <w:t>•</w:t>
      </w:r>
      <w:r w:rsidRPr="00AF5796">
        <w:rPr>
          <w:lang w:val="en-US"/>
        </w:rPr>
        <w:tab/>
      </w:r>
      <w:r w:rsidR="005D2DA7" w:rsidRPr="00AF5796">
        <w:rPr>
          <w:lang w:val="en-US"/>
        </w:rPr>
        <w:t>Ultra-</w:t>
      </w:r>
      <w:r w:rsidRPr="00AF5796">
        <w:rPr>
          <w:lang w:val="en-US"/>
        </w:rPr>
        <w:t xml:space="preserve">reliable </w:t>
      </w:r>
      <w:r w:rsidR="00467C49" w:rsidRPr="00AF5796">
        <w:rPr>
          <w:lang w:val="en-US"/>
        </w:rPr>
        <w:t>and low latency applications</w:t>
      </w:r>
    </w:p>
    <w:p w:rsidR="005D2DA7" w:rsidRPr="00AF5796" w:rsidRDefault="00DD28C3" w:rsidP="002A1854">
      <w:pPr>
        <w:pStyle w:val="enumlev1"/>
        <w:rPr>
          <w:lang w:val="en-US"/>
        </w:rPr>
      </w:pPr>
      <w:r w:rsidRPr="00AF5796">
        <w:rPr>
          <w:lang w:val="en-US"/>
        </w:rPr>
        <w:t>•</w:t>
      </w:r>
      <w:r w:rsidRPr="00AF5796">
        <w:rPr>
          <w:lang w:val="en-US"/>
        </w:rPr>
        <w:tab/>
      </w:r>
      <w:r w:rsidR="00467C49" w:rsidRPr="00AF5796">
        <w:rPr>
          <w:lang w:val="en-US"/>
        </w:rPr>
        <w:t>New applications</w:t>
      </w:r>
    </w:p>
    <w:p w:rsidR="005D2DA7" w:rsidRPr="00AF5796" w:rsidRDefault="005D2DA7" w:rsidP="005D2DA7">
      <w:pPr>
        <w:rPr>
          <w:lang w:val="en-US"/>
        </w:rPr>
      </w:pPr>
      <w:r w:rsidRPr="00AF5796">
        <w:rPr>
          <w:lang w:val="en-US"/>
        </w:rPr>
        <w:t>For the first four groups of applications, the capabilities needed have been assessed by predicting the future evolution of current and emerging applications that will need to be supported by future IMT. The fifth group envisages the types of new capabilities that might be needed by IMT in the timeframe of 2020 and beyond (assuming that new Radio Access Technologies (RATs) will need to be developed, but that previous RATs can continue to support some applications).</w:t>
      </w:r>
    </w:p>
    <w:p w:rsidR="005D2DA7" w:rsidRPr="00AF5796" w:rsidRDefault="005D2DA7" w:rsidP="005D2DA7">
      <w:pPr>
        <w:rPr>
          <w:lang w:val="en-US"/>
        </w:rPr>
      </w:pPr>
      <w:r w:rsidRPr="00AF5796">
        <w:rPr>
          <w:lang w:val="en-US"/>
        </w:rPr>
        <w:t>The three capabilities that directly influence traffic are user experienced data rate, connection density and capacity density. The other five capabilities indirectly influence traffic, because they illustrate capabilities that are needed for various applications of future IMT. These capabilities will have to be supported by future IMT in order for an application to become viable, and therefore generate traffic. For example, for some internet-of-things applications, the IoT devices do not have access to an external power supply and need to operate from a battery for the lifetime of the device. The lifetime of the IMT terminal within the device is therefore important to the viability of this application, and therefore to the traffic generated by the application.</w:t>
      </w:r>
    </w:p>
    <w:p w:rsidR="005D2DA7" w:rsidRPr="00AF5796" w:rsidRDefault="005D2DA7" w:rsidP="005D2DA7">
      <w:pPr>
        <w:spacing w:after="240"/>
        <w:rPr>
          <w:lang w:val="en-US"/>
        </w:rPr>
      </w:pPr>
      <w:r w:rsidRPr="00AF5796">
        <w:rPr>
          <w:lang w:val="en-US"/>
        </w:rPr>
        <w:t>These five groups of applications are described in the following sections. In the diagrams that illustrate them, the red line shows the envelope of the ‘core’ set of capabilities for the group of applications, and the symbols show differences for individual applications.</w:t>
      </w:r>
    </w:p>
    <w:p w:rsidR="005D2DA7" w:rsidRPr="00AF5796" w:rsidRDefault="005D2DA7" w:rsidP="00424083">
      <w:pPr>
        <w:pStyle w:val="Heading2"/>
        <w:rPr>
          <w:lang w:val="en-US"/>
        </w:rPr>
      </w:pPr>
      <w:bookmarkStart w:id="63" w:name="_Toc401630477"/>
      <w:bookmarkStart w:id="64" w:name="_Toc401647255"/>
      <w:bookmarkStart w:id="65" w:name="_Toc410626230"/>
      <w:bookmarkStart w:id="66" w:name="_Toc427932314"/>
      <w:bookmarkStart w:id="67" w:name="_Toc427935127"/>
      <w:r w:rsidRPr="00AF5796">
        <w:rPr>
          <w:lang w:val="en-US"/>
        </w:rPr>
        <w:t>A4.2</w:t>
      </w:r>
      <w:r w:rsidRPr="00AF5796">
        <w:rPr>
          <w:lang w:val="en-US"/>
        </w:rPr>
        <w:tab/>
      </w:r>
      <w:r w:rsidRPr="00AF5796">
        <w:rPr>
          <w:lang w:val="en-US" w:eastAsia="ko-KR"/>
        </w:rPr>
        <w:t>Voice and data applications</w:t>
      </w:r>
      <w:bookmarkEnd w:id="63"/>
      <w:bookmarkEnd w:id="64"/>
      <w:bookmarkEnd w:id="65"/>
      <w:bookmarkEnd w:id="66"/>
      <w:bookmarkEnd w:id="67"/>
    </w:p>
    <w:p w:rsidR="005D2DA7" w:rsidRPr="00AF5796" w:rsidRDefault="005D2DA7" w:rsidP="005D2DA7">
      <w:pPr>
        <w:rPr>
          <w:lang w:val="en-US"/>
        </w:rPr>
      </w:pPr>
      <w:r w:rsidRPr="00AF5796">
        <w:rPr>
          <w:lang w:val="en-US" w:eastAsia="ja-JP"/>
        </w:rPr>
        <w:t>Mobile Broadband is the human centric use case for access to services and data, anytime and anywhere. The demand for MBB will continue to increase, with new application areas and a demand for improved performance and an increasingly seamless user experience. This includes the evolution of IMT-Advanced scenarios.</w:t>
      </w:r>
      <w:r w:rsidRPr="00AF5796" w:rsidDel="00875AFC">
        <w:rPr>
          <w:rFonts w:eastAsia="Calibri"/>
          <w:szCs w:val="24"/>
          <w:lang w:val="en-US"/>
        </w:rPr>
        <w:t xml:space="preserve"> </w:t>
      </w:r>
      <w:r w:rsidRPr="00AF5796">
        <w:rPr>
          <w:rFonts w:eastAsia="Calibri"/>
          <w:szCs w:val="24"/>
          <w:lang w:val="en-US"/>
        </w:rPr>
        <w:t xml:space="preserve">Potential new applications include </w:t>
      </w:r>
      <w:r w:rsidRPr="00AF5796" w:rsidDel="00875AFC">
        <w:rPr>
          <w:rFonts w:eastAsia="Calibri"/>
          <w:szCs w:val="24"/>
          <w:lang w:val="en-US"/>
        </w:rPr>
        <w:t>infotainment, mo</w:t>
      </w:r>
      <w:r w:rsidRPr="00AF5796">
        <w:rPr>
          <w:rFonts w:eastAsia="Calibri"/>
          <w:szCs w:val="24"/>
          <w:lang w:val="en-US"/>
        </w:rPr>
        <w:t>bile gaming, augmented reality and work in the cloud.</w:t>
      </w:r>
    </w:p>
    <w:p w:rsidR="005D2DA7" w:rsidRPr="00AF5796" w:rsidRDefault="005D2DA7" w:rsidP="009A1C5D">
      <w:pPr>
        <w:rPr>
          <w:lang w:val="en-US" w:eastAsia="ja-JP"/>
        </w:rPr>
      </w:pPr>
      <w:r w:rsidRPr="00AF5796">
        <w:rPr>
          <w:lang w:val="en-US" w:eastAsia="ja-JP"/>
        </w:rPr>
        <w:t xml:space="preserve">Many aspects of the internet of things are effectively data, and need similar capabilities (the aspect with a massive number of devices is addressed in </w:t>
      </w:r>
      <w:r w:rsidR="009A1C5D">
        <w:rPr>
          <w:lang w:val="en-US" w:eastAsia="ja-JP"/>
        </w:rPr>
        <w:t>§</w:t>
      </w:r>
      <w:r w:rsidRPr="00AF5796">
        <w:rPr>
          <w:lang w:val="en-US" w:eastAsia="ja-JP"/>
        </w:rPr>
        <w:t xml:space="preserve"> A4.4).</w:t>
      </w:r>
    </w:p>
    <w:p w:rsidR="005D2DA7" w:rsidRPr="00AF5796" w:rsidRDefault="005D2DA7" w:rsidP="005D2DA7">
      <w:pPr>
        <w:pStyle w:val="FigureNo"/>
        <w:rPr>
          <w:lang w:val="en-US"/>
        </w:rPr>
      </w:pPr>
      <w:r w:rsidRPr="00AF5796">
        <w:rPr>
          <w:lang w:val="en-US"/>
        </w:rPr>
        <w:lastRenderedPageBreak/>
        <w:t>FIGURE A4.1</w:t>
      </w:r>
    </w:p>
    <w:p w:rsidR="005D2DA7" w:rsidRPr="00AF5796" w:rsidRDefault="005D2DA7" w:rsidP="005D2DA7">
      <w:pPr>
        <w:pStyle w:val="Figuretitle"/>
        <w:rPr>
          <w:lang w:val="en-US"/>
        </w:rPr>
      </w:pPr>
      <w:r w:rsidRPr="00AF5796">
        <w:rPr>
          <w:lang w:val="en-US"/>
        </w:rPr>
        <w:t>Capabilities envisaged in this study for current and emerging voice and data applications</w:t>
      </w:r>
    </w:p>
    <w:p w:rsidR="005D2DA7" w:rsidRPr="00AF5796" w:rsidRDefault="005D2DA7" w:rsidP="00424083">
      <w:pPr>
        <w:pStyle w:val="Figure"/>
        <w:rPr>
          <w:lang w:val="en-US"/>
        </w:rPr>
      </w:pPr>
      <w:r w:rsidRPr="00AF5796">
        <w:rPr>
          <w:noProof/>
          <w:lang w:val="en-US" w:eastAsia="zh-CN"/>
        </w:rPr>
        <w:drawing>
          <wp:inline distT="0" distB="0" distL="0" distR="0" wp14:anchorId="38177720" wp14:editId="7741CD5B">
            <wp:extent cx="5905500" cy="429577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798" b="1798"/>
                    <a:stretch/>
                  </pic:blipFill>
                  <pic:spPr bwMode="auto">
                    <a:xfrm>
                      <a:off x="0" y="0"/>
                      <a:ext cx="5915686" cy="4303184"/>
                    </a:xfrm>
                    <a:prstGeom prst="rect">
                      <a:avLst/>
                    </a:prstGeom>
                    <a:noFill/>
                    <a:ln>
                      <a:noFill/>
                    </a:ln>
                    <a:extLst>
                      <a:ext uri="{53640926-AAD7-44D8-BBD7-CCE9431645EC}">
                        <a14:shadowObscured xmlns:a14="http://schemas.microsoft.com/office/drawing/2010/main"/>
                      </a:ext>
                    </a:extLst>
                  </pic:spPr>
                </pic:pic>
              </a:graphicData>
            </a:graphic>
          </wp:inline>
        </w:drawing>
      </w:r>
    </w:p>
    <w:p w:rsidR="005D2DA7" w:rsidRPr="00AF5796" w:rsidRDefault="005D2DA7" w:rsidP="00424083">
      <w:pPr>
        <w:pStyle w:val="Heading2"/>
        <w:rPr>
          <w:lang w:val="en-US"/>
        </w:rPr>
      </w:pPr>
      <w:bookmarkStart w:id="68" w:name="_Toc401630478"/>
      <w:bookmarkStart w:id="69" w:name="_Toc401647256"/>
      <w:bookmarkStart w:id="70" w:name="_Toc410626231"/>
      <w:bookmarkStart w:id="71" w:name="_Toc427932315"/>
      <w:bookmarkStart w:id="72" w:name="_Toc427935128"/>
      <w:r w:rsidRPr="00AF5796">
        <w:rPr>
          <w:lang w:val="en-US"/>
        </w:rPr>
        <w:t>A4.3</w:t>
      </w:r>
      <w:r w:rsidRPr="00AF5796">
        <w:rPr>
          <w:lang w:val="en-US"/>
        </w:rPr>
        <w:tab/>
      </w:r>
      <w:r w:rsidRPr="00AF5796">
        <w:rPr>
          <w:lang w:val="en-US" w:eastAsia="ko-KR"/>
        </w:rPr>
        <w:t>Multimedia applications</w:t>
      </w:r>
      <w:bookmarkEnd w:id="68"/>
      <w:bookmarkEnd w:id="69"/>
      <w:bookmarkEnd w:id="70"/>
      <w:bookmarkEnd w:id="71"/>
      <w:bookmarkEnd w:id="72"/>
    </w:p>
    <w:p w:rsidR="005D2DA7" w:rsidRPr="00AF5796" w:rsidRDefault="005D2DA7" w:rsidP="005D2DA7">
      <w:pPr>
        <w:rPr>
          <w:lang w:val="en-US" w:eastAsia="ja-JP"/>
        </w:rPr>
      </w:pPr>
      <w:r w:rsidRPr="00AF5796">
        <w:rPr>
          <w:rFonts w:eastAsia="HYSinMyeongJo-Medium"/>
          <w:lang w:val="en-US" w:eastAsia="ko-KR"/>
        </w:rPr>
        <w:t xml:space="preserve">It is expected that there will be increasing demand for high definition media (possibly including UHD video and immersive games) displayed on mobile devices, </w:t>
      </w:r>
      <w:r w:rsidRPr="00AF5796">
        <w:rPr>
          <w:lang w:val="en-US" w:eastAsia="ja-JP"/>
        </w:rPr>
        <w:t>as applications</w:t>
      </w:r>
      <w:r w:rsidRPr="00AF5796">
        <w:rPr>
          <w:rFonts w:eastAsia="HYSinMyeongJo-Medium"/>
          <w:lang w:val="en-US" w:eastAsia="ko-KR"/>
        </w:rPr>
        <w:t xml:space="preserve"> for mobile high definition media may go well beyond</w:t>
      </w:r>
      <w:r w:rsidRPr="00AF5796">
        <w:rPr>
          <w:lang w:val="en-US" w:eastAsia="ja-JP"/>
        </w:rPr>
        <w:t xml:space="preserve"> entertainment and could include augmented reality, video conferencing, medical treatment, safety and security.</w:t>
      </w:r>
    </w:p>
    <w:p w:rsidR="005D2DA7" w:rsidRPr="00AF5796" w:rsidRDefault="005D2DA7" w:rsidP="005D2DA7">
      <w:pPr>
        <w:tabs>
          <w:tab w:val="left" w:pos="2608"/>
          <w:tab w:val="left" w:pos="3345"/>
        </w:tabs>
        <w:spacing w:before="80"/>
        <w:ind w:left="1134" w:hanging="1134"/>
        <w:rPr>
          <w:lang w:val="en-US" w:eastAsia="ko-KR"/>
        </w:rPr>
      </w:pPr>
    </w:p>
    <w:p w:rsidR="005D2DA7" w:rsidRPr="00AF5796" w:rsidRDefault="005D2DA7" w:rsidP="00424083">
      <w:pPr>
        <w:pStyle w:val="FigureNo"/>
        <w:rPr>
          <w:lang w:val="en-US"/>
        </w:rPr>
      </w:pPr>
      <w:r w:rsidRPr="00AF5796">
        <w:rPr>
          <w:lang w:val="en-US"/>
        </w:rPr>
        <w:lastRenderedPageBreak/>
        <w:t>FIGURE A4.2</w:t>
      </w:r>
    </w:p>
    <w:p w:rsidR="005D2DA7" w:rsidRPr="00AF5796" w:rsidRDefault="005D2DA7" w:rsidP="00424083">
      <w:pPr>
        <w:pStyle w:val="Figuretitle"/>
        <w:rPr>
          <w:lang w:val="en-US"/>
        </w:rPr>
      </w:pPr>
      <w:r w:rsidRPr="00AF5796">
        <w:rPr>
          <w:lang w:val="en-US"/>
        </w:rPr>
        <w:t>Capabilities envisaged in this study for current and emerging multimedia applications</w:t>
      </w:r>
    </w:p>
    <w:p w:rsidR="005D2DA7" w:rsidRPr="00AF5796" w:rsidRDefault="005D2DA7" w:rsidP="00424083">
      <w:pPr>
        <w:pStyle w:val="Figure"/>
        <w:rPr>
          <w:lang w:val="en-US"/>
        </w:rPr>
      </w:pPr>
      <w:r w:rsidRPr="00AF5796">
        <w:rPr>
          <w:noProof/>
          <w:lang w:val="en-US" w:eastAsia="zh-CN"/>
        </w:rPr>
        <w:drawing>
          <wp:inline distT="0" distB="0" distL="0" distR="0" wp14:anchorId="327007E2" wp14:editId="0EEB2B44">
            <wp:extent cx="5829299" cy="435292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36702" cy="4358453"/>
                    </a:xfrm>
                    <a:prstGeom prst="rect">
                      <a:avLst/>
                    </a:prstGeom>
                    <a:noFill/>
                  </pic:spPr>
                </pic:pic>
              </a:graphicData>
            </a:graphic>
          </wp:inline>
        </w:drawing>
      </w:r>
    </w:p>
    <w:p w:rsidR="005D2DA7" w:rsidRPr="00AF5796" w:rsidRDefault="005D2DA7" w:rsidP="00424083">
      <w:pPr>
        <w:pStyle w:val="Heading2"/>
        <w:rPr>
          <w:lang w:val="en-US"/>
        </w:rPr>
      </w:pPr>
      <w:bookmarkStart w:id="73" w:name="_Toc401630479"/>
      <w:bookmarkStart w:id="74" w:name="_Toc401647257"/>
      <w:bookmarkStart w:id="75" w:name="_Toc410626232"/>
      <w:bookmarkStart w:id="76" w:name="_Toc427932316"/>
      <w:bookmarkStart w:id="77" w:name="_Toc427935129"/>
      <w:r w:rsidRPr="00AF5796">
        <w:rPr>
          <w:lang w:val="en-US"/>
        </w:rPr>
        <w:t>A4.4</w:t>
      </w:r>
      <w:r w:rsidRPr="00AF5796">
        <w:rPr>
          <w:lang w:val="en-US"/>
        </w:rPr>
        <w:tab/>
      </w:r>
      <w:r w:rsidRPr="00AF5796">
        <w:rPr>
          <w:lang w:val="en-US" w:eastAsia="ko-KR"/>
        </w:rPr>
        <w:t xml:space="preserve">Internet of </w:t>
      </w:r>
      <w:r w:rsidR="0069620B" w:rsidRPr="00AF5796">
        <w:rPr>
          <w:lang w:val="en-US" w:eastAsia="ko-KR"/>
        </w:rPr>
        <w:t xml:space="preserve">things </w:t>
      </w:r>
      <w:r w:rsidRPr="00AF5796">
        <w:rPr>
          <w:lang w:val="en-US" w:eastAsia="ko-KR"/>
        </w:rPr>
        <w:t xml:space="preserve">and </w:t>
      </w:r>
      <w:r w:rsidR="0069620B" w:rsidRPr="00AF5796">
        <w:rPr>
          <w:lang w:val="en-US" w:eastAsia="ko-KR"/>
        </w:rPr>
        <w:t>machine</w:t>
      </w:r>
      <w:r w:rsidRPr="00AF5796">
        <w:rPr>
          <w:lang w:val="en-US" w:eastAsia="ko-KR"/>
        </w:rPr>
        <w:t>-to-</w:t>
      </w:r>
      <w:r w:rsidR="0069620B" w:rsidRPr="00AF5796">
        <w:rPr>
          <w:lang w:val="en-US" w:eastAsia="ko-KR"/>
        </w:rPr>
        <w:t xml:space="preserve">machine </w:t>
      </w:r>
      <w:r w:rsidRPr="00AF5796">
        <w:rPr>
          <w:lang w:val="en-US" w:eastAsia="ko-KR"/>
        </w:rPr>
        <w:t>applications</w:t>
      </w:r>
      <w:bookmarkEnd w:id="73"/>
      <w:bookmarkEnd w:id="74"/>
      <w:bookmarkEnd w:id="75"/>
      <w:bookmarkEnd w:id="76"/>
      <w:bookmarkEnd w:id="77"/>
    </w:p>
    <w:p w:rsidR="005D2DA7" w:rsidRPr="00AF5796" w:rsidRDefault="005D2DA7" w:rsidP="005D2DA7">
      <w:pPr>
        <w:rPr>
          <w:lang w:val="en-US" w:eastAsia="ja-JP"/>
        </w:rPr>
      </w:pPr>
      <w:r w:rsidRPr="00AF5796">
        <w:rPr>
          <w:lang w:val="en-US" w:eastAsia="ja-JP"/>
        </w:rPr>
        <w:t>Some ‘internet of things’ and machine-to-machine applications are characterized by a very large number of connected devices typically transmitting relatively low volume of non-delay-sensitive data. These devices are required to be low cost, and have a very long battery life.</w:t>
      </w:r>
    </w:p>
    <w:p w:rsidR="005D2DA7" w:rsidRPr="00AF5796" w:rsidRDefault="005D2DA7" w:rsidP="005D2DA7">
      <w:pPr>
        <w:rPr>
          <w:rFonts w:eastAsia="HYSinMyeongJo-Medium"/>
          <w:bCs/>
          <w:color w:val="000000"/>
          <w:szCs w:val="24"/>
          <w:lang w:val="en-US"/>
        </w:rPr>
      </w:pPr>
      <w:r w:rsidRPr="00AF5796">
        <w:rPr>
          <w:rFonts w:eastAsia="HYSinMyeongJo-Medium"/>
          <w:bCs/>
          <w:color w:val="000000"/>
          <w:szCs w:val="24"/>
          <w:lang w:val="en-US"/>
        </w:rPr>
        <w:t xml:space="preserve">In the future, a large proportion of these devices will be connected to networks and to each other </w:t>
      </w:r>
      <w:r w:rsidRPr="00AF5796">
        <w:rPr>
          <w:rFonts w:eastAsia="HYSinMyeongJo-Medium"/>
          <w:bCs/>
          <w:color w:val="000000"/>
          <w:szCs w:val="24"/>
          <w:lang w:val="en-US" w:eastAsia="ko-KR"/>
        </w:rPr>
        <w:t>by</w:t>
      </w:r>
      <w:r w:rsidRPr="00AF5796">
        <w:rPr>
          <w:rFonts w:eastAsia="HYSinMyeongJo-Medium"/>
          <w:bCs/>
          <w:color w:val="000000"/>
          <w:szCs w:val="24"/>
          <w:lang w:val="en-US"/>
        </w:rPr>
        <w:t xml:space="preserve"> wireless technologies. </w:t>
      </w:r>
    </w:p>
    <w:p w:rsidR="005D2DA7" w:rsidRPr="00AF5796" w:rsidRDefault="005D2DA7" w:rsidP="005D2DA7">
      <w:pPr>
        <w:pStyle w:val="FigureNo"/>
        <w:spacing w:before="240"/>
        <w:rPr>
          <w:lang w:val="en-US"/>
        </w:rPr>
      </w:pPr>
      <w:r w:rsidRPr="00AF5796">
        <w:rPr>
          <w:lang w:val="en-US"/>
        </w:rPr>
        <w:lastRenderedPageBreak/>
        <w:t>FIGURE A4.3</w:t>
      </w:r>
    </w:p>
    <w:p w:rsidR="005D2DA7" w:rsidRPr="00AF5796" w:rsidRDefault="005D2DA7" w:rsidP="005D2DA7">
      <w:pPr>
        <w:pStyle w:val="Figuretitle"/>
        <w:rPr>
          <w:lang w:val="en-US"/>
        </w:rPr>
      </w:pPr>
      <w:r w:rsidRPr="00AF5796">
        <w:rPr>
          <w:lang w:val="en-US"/>
        </w:rPr>
        <w:t>Capabilities envisaged in this study for emerging Internet of Things sensor and actuator applications</w:t>
      </w:r>
    </w:p>
    <w:p w:rsidR="005D2DA7" w:rsidRPr="00AF5796" w:rsidRDefault="005D2DA7" w:rsidP="00424083">
      <w:pPr>
        <w:pStyle w:val="Figure"/>
        <w:rPr>
          <w:lang w:val="en-US"/>
        </w:rPr>
      </w:pPr>
      <w:r w:rsidRPr="00AF5796">
        <w:rPr>
          <w:noProof/>
          <w:lang w:val="en-US" w:eastAsia="zh-CN"/>
        </w:rPr>
        <w:drawing>
          <wp:inline distT="0" distB="0" distL="0" distR="0" wp14:anchorId="6EE79216" wp14:editId="44DC53A6">
            <wp:extent cx="5867325" cy="417195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73100" cy="4176056"/>
                    </a:xfrm>
                    <a:prstGeom prst="rect">
                      <a:avLst/>
                    </a:prstGeom>
                    <a:noFill/>
                  </pic:spPr>
                </pic:pic>
              </a:graphicData>
            </a:graphic>
          </wp:inline>
        </w:drawing>
      </w:r>
    </w:p>
    <w:p w:rsidR="005D2DA7" w:rsidRPr="00AF5796" w:rsidRDefault="005D2DA7" w:rsidP="003B3B09">
      <w:pPr>
        <w:pStyle w:val="Heading2"/>
        <w:rPr>
          <w:lang w:val="en-US"/>
        </w:rPr>
      </w:pPr>
      <w:bookmarkStart w:id="78" w:name="_Toc401630480"/>
      <w:bookmarkStart w:id="79" w:name="_Toc401647258"/>
      <w:bookmarkStart w:id="80" w:name="_Toc410626233"/>
      <w:bookmarkStart w:id="81" w:name="_Toc427932317"/>
      <w:bookmarkStart w:id="82" w:name="_Toc427935130"/>
      <w:r w:rsidRPr="00AF5796">
        <w:rPr>
          <w:lang w:val="en-US"/>
        </w:rPr>
        <w:t>A4.5</w:t>
      </w:r>
      <w:r w:rsidRPr="00AF5796">
        <w:rPr>
          <w:lang w:val="en-US"/>
        </w:rPr>
        <w:tab/>
        <w:t>Ultra-</w:t>
      </w:r>
      <w:r w:rsidR="0069620B" w:rsidRPr="00AF5796">
        <w:rPr>
          <w:lang w:val="en-US"/>
        </w:rPr>
        <w:t xml:space="preserve">reliable </w:t>
      </w:r>
      <w:r w:rsidRPr="00AF5796">
        <w:rPr>
          <w:lang w:val="en-US"/>
        </w:rPr>
        <w:t>and low latency applications</w:t>
      </w:r>
      <w:bookmarkEnd w:id="78"/>
      <w:bookmarkEnd w:id="79"/>
      <w:bookmarkEnd w:id="80"/>
      <w:bookmarkEnd w:id="81"/>
      <w:bookmarkEnd w:id="82"/>
    </w:p>
    <w:p w:rsidR="005D2DA7" w:rsidRPr="00AF5796" w:rsidRDefault="005D2DA7" w:rsidP="005D2DA7">
      <w:pPr>
        <w:rPr>
          <w:lang w:val="en-US"/>
        </w:rPr>
      </w:pPr>
      <w:r w:rsidRPr="00AF5796" w:rsidDel="00A86CCD">
        <w:rPr>
          <w:lang w:val="en-US"/>
        </w:rPr>
        <w:t xml:space="preserve">In this use case, communication links between machines </w:t>
      </w:r>
      <w:r w:rsidRPr="00AF5796">
        <w:rPr>
          <w:lang w:val="en-US"/>
        </w:rPr>
        <w:t>are</w:t>
      </w:r>
      <w:r w:rsidRPr="00AF5796" w:rsidDel="00A86CCD">
        <w:rPr>
          <w:lang w:val="en-US"/>
        </w:rPr>
        <w:t xml:space="preserve"> required to have a precise</w:t>
      </w:r>
      <w:r w:rsidRPr="00AF5796">
        <w:rPr>
          <w:lang w:val="en-US"/>
        </w:rPr>
        <w:t>ly</w:t>
      </w:r>
      <w:r w:rsidRPr="00AF5796" w:rsidDel="00A86CCD">
        <w:rPr>
          <w:lang w:val="en-US"/>
        </w:rPr>
        <w:t xml:space="preserve"> defined behaviour in terms of </w:t>
      </w:r>
      <w:r w:rsidRPr="00AF5796">
        <w:rPr>
          <w:lang w:val="en-US"/>
        </w:rPr>
        <w:t>important</w:t>
      </w:r>
      <w:r w:rsidRPr="00AF5796" w:rsidDel="00A86CCD">
        <w:rPr>
          <w:lang w:val="en-US"/>
        </w:rPr>
        <w:t xml:space="preserve"> KPIs such as guaranteed throughput, latency, etc. Examples </w:t>
      </w:r>
      <w:r w:rsidRPr="00AF5796">
        <w:rPr>
          <w:lang w:val="en-US"/>
        </w:rPr>
        <w:t>include:</w:t>
      </w:r>
    </w:p>
    <w:p w:rsidR="005D2DA7" w:rsidRPr="00AF5796" w:rsidRDefault="0069620B" w:rsidP="002D5F4A">
      <w:pPr>
        <w:pStyle w:val="enumlev1"/>
        <w:rPr>
          <w:lang w:val="en-US" w:eastAsia="ja-JP"/>
        </w:rPr>
      </w:pPr>
      <w:r w:rsidRPr="00AF5796">
        <w:rPr>
          <w:lang w:val="en-US"/>
        </w:rPr>
        <w:t>•</w:t>
      </w:r>
      <w:r w:rsidRPr="00AF5796">
        <w:rPr>
          <w:lang w:val="en-US"/>
        </w:rPr>
        <w:tab/>
      </w:r>
      <w:r w:rsidR="005D2DA7" w:rsidRPr="00AF5796" w:rsidDel="00A86CCD">
        <w:rPr>
          <w:lang w:val="en-US"/>
        </w:rPr>
        <w:t>wireless control of industrial manufacturing or production processes, distribution</w:t>
      </w:r>
      <w:r w:rsidR="005D2DA7" w:rsidRPr="00AF5796">
        <w:rPr>
          <w:lang w:val="en-US"/>
        </w:rPr>
        <w:t>;</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sidDel="00A86CCD">
        <w:rPr>
          <w:lang w:val="en-US"/>
        </w:rPr>
        <w:t>automation in a smart grid</w:t>
      </w:r>
      <w:r w:rsidR="005D2DA7" w:rsidRPr="00AF5796">
        <w:rPr>
          <w:lang w:val="en-US"/>
        </w:rPr>
        <w:t>;</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Pr>
          <w:lang w:val="en-US"/>
        </w:rPr>
        <w:t>Automotive safety: driverless cars, machine (car) user, communicating with other vehicles and infrastructure for e.g. safety purposes;</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Pr>
          <w:lang w:val="en-US"/>
        </w:rPr>
        <w:t>Ultra-Reliable Communication: includes remote control of machines, mission critical applications or e-health;</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Pr>
          <w:lang w:val="en-US"/>
        </w:rPr>
        <w:t>Public Protection and Disaster Relief (PPDR) communications.</w:t>
      </w:r>
    </w:p>
    <w:p w:rsidR="005D2DA7" w:rsidRPr="00AF5796" w:rsidRDefault="005D2DA7" w:rsidP="005D2DA7">
      <w:pPr>
        <w:rPr>
          <w:i/>
          <w:lang w:val="en-US" w:eastAsia="ja-JP"/>
        </w:rPr>
      </w:pPr>
      <w:r w:rsidRPr="00AF5796">
        <w:rPr>
          <w:lang w:val="en-US"/>
        </w:rPr>
        <w:t>Reliability relates the capability to provide a given service level with high probability that a system or service will perform a satisfactory manner for a given period of time.</w:t>
      </w:r>
    </w:p>
    <w:p w:rsidR="005D2DA7" w:rsidRPr="00AF5796" w:rsidRDefault="005D2DA7" w:rsidP="005D2DA7">
      <w:pPr>
        <w:pStyle w:val="FigureNo"/>
        <w:rPr>
          <w:lang w:val="en-US"/>
        </w:rPr>
      </w:pPr>
      <w:r w:rsidRPr="00AF5796">
        <w:rPr>
          <w:lang w:val="en-US"/>
        </w:rPr>
        <w:lastRenderedPageBreak/>
        <w:t>FIGURE A4.4</w:t>
      </w:r>
    </w:p>
    <w:p w:rsidR="005D2DA7" w:rsidRPr="00AF5796" w:rsidRDefault="005D2DA7" w:rsidP="005D2DA7">
      <w:pPr>
        <w:pStyle w:val="Figuretitle"/>
        <w:rPr>
          <w:lang w:val="en-US"/>
        </w:rPr>
      </w:pPr>
      <w:r w:rsidRPr="00AF5796">
        <w:rPr>
          <w:lang w:val="en-US"/>
        </w:rPr>
        <w:t>Capabilities envisaged in this study for emerging mission critical and low latency applications</w:t>
      </w:r>
    </w:p>
    <w:p w:rsidR="005D2DA7" w:rsidRPr="00AF5796" w:rsidRDefault="005D2DA7" w:rsidP="003B3B09">
      <w:pPr>
        <w:pStyle w:val="Figure"/>
        <w:rPr>
          <w:lang w:val="en-US" w:eastAsia="ja-JP"/>
        </w:rPr>
      </w:pPr>
      <w:r w:rsidRPr="00AF5796">
        <w:rPr>
          <w:noProof/>
          <w:lang w:val="en-US" w:eastAsia="zh-CN"/>
        </w:rPr>
        <w:drawing>
          <wp:inline distT="0" distB="0" distL="0" distR="0" wp14:anchorId="5381D24F" wp14:editId="366DF3B8">
            <wp:extent cx="5967890" cy="4219575"/>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69480" cy="4220699"/>
                    </a:xfrm>
                    <a:prstGeom prst="rect">
                      <a:avLst/>
                    </a:prstGeom>
                    <a:noFill/>
                  </pic:spPr>
                </pic:pic>
              </a:graphicData>
            </a:graphic>
          </wp:inline>
        </w:drawing>
      </w:r>
    </w:p>
    <w:p w:rsidR="005D2DA7" w:rsidRPr="00AF5796" w:rsidRDefault="005D2DA7" w:rsidP="003B3B09">
      <w:pPr>
        <w:pStyle w:val="Heading2"/>
        <w:rPr>
          <w:lang w:val="en-US"/>
        </w:rPr>
      </w:pPr>
      <w:bookmarkStart w:id="83" w:name="_Toc401630481"/>
      <w:bookmarkStart w:id="84" w:name="_Toc401647259"/>
      <w:bookmarkStart w:id="85" w:name="_Toc410626234"/>
      <w:bookmarkStart w:id="86" w:name="_Toc427932318"/>
      <w:bookmarkStart w:id="87" w:name="_Toc427935131"/>
      <w:r w:rsidRPr="00AF5796">
        <w:rPr>
          <w:lang w:val="en-US"/>
        </w:rPr>
        <w:t>A4.6</w:t>
      </w:r>
      <w:r w:rsidRPr="00AF5796">
        <w:rPr>
          <w:lang w:val="en-US"/>
        </w:rPr>
        <w:tab/>
        <w:t>New applications</w:t>
      </w:r>
      <w:bookmarkEnd w:id="83"/>
      <w:bookmarkEnd w:id="84"/>
      <w:bookmarkEnd w:id="85"/>
      <w:bookmarkEnd w:id="86"/>
      <w:bookmarkEnd w:id="87"/>
    </w:p>
    <w:p w:rsidR="005D2DA7" w:rsidRPr="00AF5796" w:rsidRDefault="005D2DA7" w:rsidP="005D2DA7">
      <w:pPr>
        <w:rPr>
          <w:lang w:val="en-US"/>
        </w:rPr>
      </w:pPr>
      <w:r w:rsidRPr="00AF5796">
        <w:rPr>
          <w:lang w:val="en-US"/>
        </w:rPr>
        <w:t>Additional new use cases will emerge, which are not foreseen in detail today. This will require flexibility for future IMT to adapt to new use cases with a wide range of requirements on the key capabilities.</w:t>
      </w:r>
    </w:p>
    <w:p w:rsidR="005D2DA7" w:rsidRPr="00AF5796" w:rsidRDefault="005D2DA7" w:rsidP="005D2DA7">
      <w:pPr>
        <w:pStyle w:val="FigureNo"/>
        <w:rPr>
          <w:lang w:val="en-US"/>
        </w:rPr>
      </w:pPr>
      <w:r w:rsidRPr="00AF5796">
        <w:rPr>
          <w:lang w:val="en-US"/>
        </w:rPr>
        <w:lastRenderedPageBreak/>
        <w:t>FIGURE A4.5</w:t>
      </w:r>
    </w:p>
    <w:p w:rsidR="005D2DA7" w:rsidRPr="00AF5796" w:rsidRDefault="005D2DA7" w:rsidP="00AB55D5">
      <w:pPr>
        <w:pStyle w:val="Figuretitle"/>
        <w:rPr>
          <w:b w:val="0"/>
          <w:lang w:val="en-US"/>
        </w:rPr>
      </w:pPr>
      <w:r w:rsidRPr="00AF5796">
        <w:rPr>
          <w:lang w:val="en-US"/>
        </w:rPr>
        <w:t>New capabilities envisaged in this study for Future IMT for 2020 and beyond</w:t>
      </w:r>
    </w:p>
    <w:p w:rsidR="005D2DA7" w:rsidRPr="00AF5796" w:rsidRDefault="005D2DA7" w:rsidP="003B3B09">
      <w:pPr>
        <w:pStyle w:val="Figure"/>
        <w:rPr>
          <w:rStyle w:val="Emphasis"/>
          <w:i w:val="0"/>
          <w:iCs w:val="0"/>
          <w:lang w:val="en-US" w:eastAsia="zh-CN"/>
        </w:rPr>
      </w:pPr>
      <w:r w:rsidRPr="00AF5796">
        <w:rPr>
          <w:noProof/>
          <w:lang w:val="en-US" w:eastAsia="zh-CN"/>
        </w:rPr>
        <w:drawing>
          <wp:inline distT="0" distB="0" distL="0" distR="0" wp14:anchorId="775D5B53" wp14:editId="53858892">
            <wp:extent cx="5934075" cy="431482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7885" cy="4317595"/>
                    </a:xfrm>
                    <a:prstGeom prst="rect">
                      <a:avLst/>
                    </a:prstGeom>
                    <a:noFill/>
                  </pic:spPr>
                </pic:pic>
              </a:graphicData>
            </a:graphic>
          </wp:inline>
        </w:drawing>
      </w:r>
    </w:p>
    <w:p w:rsidR="00690C28" w:rsidRPr="00AF5796" w:rsidRDefault="00690C28" w:rsidP="00690C28">
      <w:pPr>
        <w:rPr>
          <w:lang w:val="en-US" w:eastAsia="zh-CN"/>
        </w:rPr>
      </w:pPr>
    </w:p>
    <w:p w:rsidR="00AB55D5" w:rsidRPr="00AF5796" w:rsidRDefault="00AB55D5" w:rsidP="00690C28">
      <w:pPr>
        <w:pStyle w:val="Line"/>
        <w:rPr>
          <w:lang w:val="en-US" w:eastAsia="zh-CN"/>
        </w:rPr>
      </w:pPr>
    </w:p>
    <w:sectPr w:rsidR="00AB55D5" w:rsidRPr="00AF5796" w:rsidSect="00D513B3">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12B" w:rsidRDefault="001B512B">
      <w:r>
        <w:separator/>
      </w:r>
    </w:p>
  </w:endnote>
  <w:endnote w:type="continuationSeparator" w:id="0">
    <w:p w:rsidR="001B512B" w:rsidRDefault="001B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HYSinMyeongJo-Medium">
    <w:altName w:val="HY신명조"/>
    <w:charset w:val="81"/>
    <w:family w:val="roman"/>
    <w:pitch w:val="variable"/>
    <w:sig w:usb0="900002A7" w:usb1="29D77CF9"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12B" w:rsidRDefault="001B512B">
      <w:r>
        <w:separator/>
      </w:r>
    </w:p>
  </w:footnote>
  <w:footnote w:type="continuationSeparator" w:id="0">
    <w:p w:rsidR="001B512B" w:rsidRDefault="001B512B">
      <w:r>
        <w:continuationSeparator/>
      </w:r>
    </w:p>
  </w:footnote>
  <w:footnote w:id="1">
    <w:p w:rsidR="001B512B" w:rsidRPr="007908BE" w:rsidRDefault="001B512B">
      <w:pPr>
        <w:pStyle w:val="FootnoteText"/>
        <w:rPr>
          <w:lang w:val="de-CH"/>
        </w:rPr>
      </w:pPr>
      <w:r>
        <w:rPr>
          <w:rStyle w:val="FootnoteReference"/>
        </w:rPr>
        <w:footnoteRef/>
      </w:r>
      <w:r w:rsidRPr="007908BE">
        <w:rPr>
          <w:lang w:val="de-CH"/>
        </w:rPr>
        <w:t xml:space="preserve"> </w:t>
      </w:r>
      <w:r w:rsidRPr="007908BE">
        <w:rPr>
          <w:lang w:val="de-CH"/>
        </w:rPr>
        <w:tab/>
      </w:r>
      <w:r w:rsidRPr="00A67975">
        <w:rPr>
          <w:szCs w:val="24"/>
          <w:lang w:val="de-CH"/>
        </w:rPr>
        <w:t xml:space="preserve">GSMA Intelligence, April 2015, </w:t>
      </w:r>
      <w:hyperlink r:id="rId1" w:history="1">
        <w:r w:rsidRPr="00A67975">
          <w:rPr>
            <w:rStyle w:val="Hyperlink"/>
            <w:szCs w:val="24"/>
            <w:lang w:val="de-CH"/>
          </w:rPr>
          <w:t>https://gsmaintelligence.com</w:t>
        </w:r>
      </w:hyperlink>
      <w:r>
        <w:rPr>
          <w:rStyle w:val="Hyperlink"/>
          <w:szCs w:val="24"/>
          <w:lang w:val="de-CH"/>
        </w:rPr>
        <w:t xml:space="preserve"> </w:t>
      </w:r>
      <w:r w:rsidRPr="007908BE">
        <w:rPr>
          <w:szCs w:val="24"/>
          <w:lang w:val="de-CH"/>
        </w:rPr>
        <w:t>.</w:t>
      </w:r>
    </w:p>
  </w:footnote>
  <w:footnote w:id="2">
    <w:p w:rsidR="001B512B" w:rsidRPr="007908BE" w:rsidRDefault="001B512B" w:rsidP="00EA73ED">
      <w:pPr>
        <w:pStyle w:val="FootnoteText"/>
        <w:rPr>
          <w:szCs w:val="24"/>
          <w:lang w:val="en-US"/>
        </w:rPr>
      </w:pPr>
      <w:r w:rsidRPr="00820003">
        <w:rPr>
          <w:rStyle w:val="FootnoteReference"/>
        </w:rPr>
        <w:footnoteRef/>
      </w:r>
      <w:r w:rsidRPr="005D2DA7">
        <w:rPr>
          <w:szCs w:val="22"/>
          <w:lang w:val="en-US"/>
        </w:rPr>
        <w:tab/>
      </w:r>
      <w:r w:rsidRPr="007908BE">
        <w:rPr>
          <w:szCs w:val="24"/>
          <w:lang w:val="en-US"/>
        </w:rPr>
        <w:t>In this report, Mobile Broadband (MBB) refers to devices using technologies that can offer at least IMT capabilities.</w:t>
      </w:r>
    </w:p>
  </w:footnote>
  <w:footnote w:id="3">
    <w:p w:rsidR="001B512B" w:rsidRPr="007908BE" w:rsidRDefault="001B512B" w:rsidP="00EA73ED">
      <w:pPr>
        <w:pStyle w:val="FootnoteText"/>
        <w:rPr>
          <w:szCs w:val="24"/>
          <w:lang w:val="en-US"/>
        </w:rPr>
      </w:pPr>
      <w:r w:rsidRPr="00820003">
        <w:rPr>
          <w:rStyle w:val="FootnoteReference"/>
        </w:rPr>
        <w:footnoteRef/>
      </w:r>
      <w:r w:rsidRPr="005D2DA7">
        <w:rPr>
          <w:szCs w:val="22"/>
          <w:lang w:val="en-US"/>
        </w:rPr>
        <w:tab/>
      </w:r>
      <w:r w:rsidRPr="007908BE">
        <w:rPr>
          <w:szCs w:val="24"/>
          <w:lang w:val="en-US"/>
        </w:rPr>
        <w:t xml:space="preserve">“The State of Broadband 2014: Broadband for all”, A Report by the Broadband Commission, 21 September 2014, page 19. </w:t>
      </w:r>
      <w:hyperlink r:id="rId2" w:history="1">
        <w:r w:rsidRPr="007908BE">
          <w:rPr>
            <w:rStyle w:val="Hyperlink"/>
            <w:szCs w:val="24"/>
            <w:lang w:val="en-US"/>
          </w:rPr>
          <w:t>http://www.broadbandcommission.org/Documents/reports/bb-annualreport2014.pdf</w:t>
        </w:r>
      </w:hyperlink>
      <w:r w:rsidRPr="007908BE">
        <w:rPr>
          <w:szCs w:val="24"/>
          <w:lang w:val="en-US"/>
        </w:rPr>
        <w:t xml:space="preserve"> .</w:t>
      </w:r>
    </w:p>
  </w:footnote>
  <w:footnote w:id="4">
    <w:p w:rsidR="001B512B" w:rsidRPr="007908BE" w:rsidRDefault="001B512B" w:rsidP="00EA73ED">
      <w:pPr>
        <w:pStyle w:val="FootnoteText"/>
        <w:rPr>
          <w:lang w:val="en-US"/>
        </w:rPr>
      </w:pPr>
      <w:r w:rsidRPr="00C777FE">
        <w:rPr>
          <w:rStyle w:val="FootnoteReference"/>
        </w:rPr>
        <w:footnoteRef/>
      </w:r>
      <w:r w:rsidRPr="005D2DA7">
        <w:rPr>
          <w:rStyle w:val="FootnoteReference"/>
          <w:sz w:val="22"/>
          <w:szCs w:val="22"/>
          <w:lang w:val="en-US"/>
        </w:rPr>
        <w:tab/>
      </w:r>
      <w:r w:rsidRPr="007908BE">
        <w:rPr>
          <w:lang w:val="en-US"/>
        </w:rPr>
        <w:t>The use of the term IMT-2020 will be defined by an appropriate ITU-R Resolution by the Radiocommunication Assembly 2015</w:t>
      </w:r>
      <w:r w:rsidRPr="007908BE">
        <w:rPr>
          <w:szCs w:val="24"/>
          <w:lang w:val="en-US"/>
        </w:rPr>
        <w:t>.</w:t>
      </w:r>
    </w:p>
  </w:footnote>
  <w:footnote w:id="5">
    <w:p w:rsidR="001B512B" w:rsidRPr="007908BE" w:rsidRDefault="001B512B" w:rsidP="007908BE">
      <w:pPr>
        <w:pStyle w:val="FootnoteText"/>
        <w:rPr>
          <w:rStyle w:val="Hyperlink"/>
          <w:lang w:val="en-US"/>
        </w:rPr>
      </w:pPr>
      <w:r w:rsidRPr="00C777FE">
        <w:rPr>
          <w:rStyle w:val="FootnoteReference"/>
        </w:rPr>
        <w:footnoteRef/>
      </w:r>
      <w:r w:rsidRPr="005D2DA7">
        <w:rPr>
          <w:rStyle w:val="FootnoteReference"/>
          <w:sz w:val="22"/>
          <w:szCs w:val="22"/>
          <w:lang w:val="en-US"/>
        </w:rPr>
        <w:tab/>
      </w:r>
      <w:r w:rsidRPr="007908BE">
        <w:rPr>
          <w:lang w:val="en-US"/>
        </w:rPr>
        <w:t>J.P. Bonin, C. Evci and A.L. Sanders, “ Securing Spectrum through the ITU to fuel the growth of next generation Wireless technologies ” Alcatel-Lucent Bell Labs Technical Journal (BLTJ), 18(2), September 2013,</w:t>
      </w:r>
      <w:r w:rsidRPr="005D2DA7">
        <w:rPr>
          <w:rStyle w:val="FootnoteReference"/>
          <w:szCs w:val="24"/>
          <w:lang w:val="en-US"/>
        </w:rPr>
        <w:t xml:space="preserve"> </w:t>
      </w:r>
      <w:hyperlink r:id="rId3" w:history="1">
        <w:r w:rsidRPr="007908BE">
          <w:rPr>
            <w:rStyle w:val="Hyperlink"/>
            <w:szCs w:val="24"/>
            <w:lang w:val="en-US"/>
          </w:rPr>
          <w:t>http://onlinelibrary.wiley.com/enhanced/doi/10.1002/bltj.21607/</w:t>
        </w:r>
      </w:hyperlink>
      <w:r>
        <w:rPr>
          <w:lang w:val="en-US"/>
        </w:rPr>
        <w:t xml:space="preserve"> </w:t>
      </w:r>
      <w:r w:rsidRPr="007908BE">
        <w:rPr>
          <w:lang w:val="en-US"/>
        </w:rPr>
        <w:t>.</w:t>
      </w:r>
    </w:p>
    <w:p w:rsidR="001B512B" w:rsidRPr="007908BE" w:rsidRDefault="001B512B" w:rsidP="007908BE">
      <w:pPr>
        <w:pStyle w:val="FootnoteText"/>
        <w:rPr>
          <w:lang w:val="en-US"/>
        </w:rPr>
      </w:pPr>
      <w:r w:rsidRPr="007908BE">
        <w:rPr>
          <w:lang w:val="en-US"/>
        </w:rPr>
        <w:tab/>
        <w:t>This document can be obtained upon request from the Radiocommunication Bureau.</w:t>
      </w:r>
    </w:p>
  </w:footnote>
  <w:footnote w:id="6">
    <w:p w:rsidR="001B512B" w:rsidRPr="007908BE" w:rsidRDefault="001B512B" w:rsidP="00EA73ED">
      <w:pPr>
        <w:pStyle w:val="FootnoteText"/>
        <w:rPr>
          <w:lang w:val="en-US"/>
        </w:rPr>
      </w:pPr>
      <w:r w:rsidRPr="00C777FE">
        <w:rPr>
          <w:rStyle w:val="FootnoteReference"/>
        </w:rPr>
        <w:footnoteRef/>
      </w:r>
      <w:r w:rsidRPr="005D2DA7">
        <w:rPr>
          <w:szCs w:val="22"/>
          <w:lang w:val="en-US"/>
        </w:rPr>
        <w:tab/>
      </w:r>
      <w:r w:rsidRPr="007908BE">
        <w:rPr>
          <w:lang w:val="en-US"/>
        </w:rPr>
        <w:t>Global Smartphone Market Analysis and Outlook: Disruption in a Changing Market,</w:t>
      </w:r>
      <w:r w:rsidRPr="005D2DA7">
        <w:rPr>
          <w:szCs w:val="24"/>
          <w:lang w:val="en-US"/>
        </w:rPr>
        <w:t xml:space="preserve"> </w:t>
      </w:r>
      <w:hyperlink r:id="rId4" w:history="1">
        <w:r w:rsidRPr="005D2DA7">
          <w:rPr>
            <w:rStyle w:val="Hyperlink"/>
            <w:rFonts w:asciiTheme="majorBidi" w:hAnsiTheme="majorBidi" w:cstheme="majorBidi"/>
            <w:szCs w:val="24"/>
            <w:lang w:val="en-US"/>
          </w:rPr>
          <w:t>www.ccsinsight.com</w:t>
        </w:r>
      </w:hyperlink>
      <w:r w:rsidRPr="005D2DA7">
        <w:rPr>
          <w:rFonts w:asciiTheme="majorBidi" w:hAnsiTheme="majorBidi" w:cstheme="majorBidi"/>
          <w:szCs w:val="24"/>
          <w:lang w:val="en-US"/>
        </w:rPr>
        <w:t xml:space="preserve">, </w:t>
      </w:r>
      <w:r w:rsidRPr="007908BE">
        <w:rPr>
          <w:lang w:val="en-US"/>
        </w:rPr>
        <w:t>June 2014.</w:t>
      </w:r>
    </w:p>
  </w:footnote>
  <w:footnote w:id="7">
    <w:p w:rsidR="001B512B" w:rsidRPr="007908BE" w:rsidRDefault="001B512B" w:rsidP="00EA73ED">
      <w:pPr>
        <w:pStyle w:val="FootnoteText"/>
        <w:rPr>
          <w:lang w:val="de-CH"/>
        </w:rPr>
      </w:pPr>
      <w:r w:rsidRPr="00C777FE">
        <w:rPr>
          <w:rStyle w:val="FootnoteReference"/>
        </w:rPr>
        <w:footnoteRef/>
      </w:r>
      <w:r w:rsidRPr="008B35FA">
        <w:rPr>
          <w:color w:val="000000"/>
          <w:szCs w:val="22"/>
          <w:lang w:val="de-CH"/>
        </w:rPr>
        <w:tab/>
      </w:r>
      <w:r w:rsidRPr="00592B26">
        <w:rPr>
          <w:lang w:val="de-CH"/>
        </w:rPr>
        <w:t>Gartner (September 2013),</w:t>
      </w:r>
      <w:r w:rsidRPr="00E27704">
        <w:rPr>
          <w:rFonts w:asciiTheme="majorBidi" w:hAnsiTheme="majorBidi" w:cstheme="majorBidi"/>
          <w:color w:val="000000"/>
          <w:szCs w:val="24"/>
          <w:lang w:val="de-CH"/>
        </w:rPr>
        <w:t xml:space="preserve"> </w:t>
      </w:r>
      <w:hyperlink r:id="rId5" w:history="1">
        <w:r w:rsidRPr="00E27704">
          <w:rPr>
            <w:rStyle w:val="Hyperlink"/>
            <w:rFonts w:asciiTheme="majorBidi" w:hAnsiTheme="majorBidi" w:cstheme="majorBidi"/>
            <w:szCs w:val="24"/>
            <w:lang w:val="de-CH"/>
          </w:rPr>
          <w:t>http://www.gartner.com/newsroom/id/2592315</w:t>
        </w:r>
      </w:hyperlink>
      <w:r w:rsidRPr="007908BE">
        <w:rPr>
          <w:lang w:val="de-CH"/>
        </w:rPr>
        <w:t xml:space="preserve"> .</w:t>
      </w:r>
    </w:p>
  </w:footnote>
  <w:footnote w:id="8">
    <w:p w:rsidR="001B512B" w:rsidRPr="007908BE" w:rsidRDefault="001B512B" w:rsidP="00873048">
      <w:pPr>
        <w:pStyle w:val="FootnoteText"/>
        <w:rPr>
          <w:szCs w:val="24"/>
          <w:lang w:val="en-US"/>
        </w:rPr>
      </w:pPr>
      <w:r>
        <w:rPr>
          <w:rStyle w:val="FootnoteReference"/>
        </w:rPr>
        <w:footnoteRef/>
      </w:r>
      <w:r w:rsidRPr="005D2DA7">
        <w:rPr>
          <w:lang w:val="en-US"/>
        </w:rPr>
        <w:tab/>
      </w:r>
      <w:r w:rsidRPr="007908BE">
        <w:rPr>
          <w:szCs w:val="24"/>
          <w:lang w:val="en-US"/>
        </w:rPr>
        <w:t>Quality of experience (QoE) measures total system performance using subjective and objective measures of customer satisfaction. It differs from quality of service (QoS), which assesses the performance of hardware and software services delivered by a vendor under the terms of a contract.</w:t>
      </w:r>
    </w:p>
  </w:footnote>
  <w:footnote w:id="9">
    <w:p w:rsidR="001B512B" w:rsidRPr="00941D2F" w:rsidRDefault="001B512B" w:rsidP="00873048">
      <w:pPr>
        <w:pStyle w:val="FootnoteText"/>
        <w:rPr>
          <w:lang w:val="en-US"/>
        </w:rPr>
      </w:pPr>
      <w:r>
        <w:rPr>
          <w:rStyle w:val="FootnoteReference"/>
        </w:rPr>
        <w:footnoteRef/>
      </w:r>
      <w:r w:rsidRPr="005D2DA7">
        <w:rPr>
          <w:lang w:val="en-US"/>
        </w:rPr>
        <w:tab/>
      </w:r>
      <w:r w:rsidRPr="007908BE">
        <w:rPr>
          <w:szCs w:val="24"/>
          <w:lang w:val="en-US"/>
        </w:rPr>
        <w:t>DigiWorld yearbook by IDATE: key indicators of the digital economy, November 2014,</w:t>
      </w:r>
      <w:r w:rsidRPr="005D2DA7">
        <w:rPr>
          <w:szCs w:val="24"/>
          <w:lang w:val="en-US"/>
        </w:rPr>
        <w:t xml:space="preserve"> </w:t>
      </w:r>
      <w:hyperlink r:id="rId6" w:history="1">
        <w:r w:rsidRPr="005D2DA7">
          <w:rPr>
            <w:rStyle w:val="Hyperlink"/>
            <w:rFonts w:eastAsia="Calibri"/>
            <w:szCs w:val="24"/>
            <w:lang w:val="en-US"/>
          </w:rPr>
          <w:t>http://www.idate.org/en/Forum/DigiWorld-Yearbook_40_.html</w:t>
        </w:r>
      </w:hyperlink>
      <w:r>
        <w:rPr>
          <w:lang w:val="en-US"/>
        </w:rPr>
        <w:t xml:space="preserve"> </w:t>
      </w:r>
      <w:r w:rsidRPr="007908BE">
        <w:rPr>
          <w:lang w:val="en-US"/>
        </w:rPr>
        <w:t>.</w:t>
      </w:r>
    </w:p>
  </w:footnote>
  <w:footnote w:id="10">
    <w:p w:rsidR="001B512B" w:rsidRPr="007908BE" w:rsidRDefault="001B512B" w:rsidP="00873048">
      <w:pPr>
        <w:pStyle w:val="FootnoteText"/>
        <w:rPr>
          <w:szCs w:val="24"/>
          <w:lang w:val="en-US"/>
        </w:rPr>
      </w:pPr>
      <w:r>
        <w:rPr>
          <w:rStyle w:val="FootnoteReference"/>
        </w:rPr>
        <w:footnoteRef/>
      </w:r>
      <w:r w:rsidRPr="005D2DA7">
        <w:rPr>
          <w:lang w:val="en-US"/>
        </w:rPr>
        <w:tab/>
      </w:r>
      <w:r w:rsidRPr="007908BE">
        <w:rPr>
          <w:szCs w:val="24"/>
          <w:lang w:val="en-US"/>
        </w:rPr>
        <w:t>Over-the-top content (OTT) refers to delivery of audio, video and other media over the Internet without a multiple-system operator being involved in the control or distribution of the content. The provider may be aware of the contents of the Internet Protocol packets but is not responsible for, nor able to control, the viewing abilities, copyrights, and/or other redistribution of the content. OTT in particular refers to content that arrives from a third party, such as Dramatize, DramaFever, Crackle, Hulu, myTV, NetD, Netflix, NowTV or WWE Network, etc.</w:t>
      </w:r>
    </w:p>
  </w:footnote>
  <w:footnote w:id="11">
    <w:p w:rsidR="001B512B" w:rsidRPr="005D2DA7" w:rsidRDefault="001B512B" w:rsidP="000C45CC">
      <w:pPr>
        <w:pStyle w:val="FootnoteText"/>
        <w:rPr>
          <w:lang w:val="en-US"/>
        </w:rPr>
      </w:pPr>
      <w:r>
        <w:rPr>
          <w:rStyle w:val="FootnoteReference"/>
        </w:rPr>
        <w:footnoteRef/>
      </w:r>
      <w:r w:rsidRPr="005D2DA7">
        <w:rPr>
          <w:lang w:val="en-US"/>
        </w:rPr>
        <w:tab/>
        <w:t xml:space="preserve">The four approaches are not mutually </w:t>
      </w:r>
      <w:r w:rsidRPr="005B5139">
        <w:rPr>
          <w:lang w:val="en-US"/>
        </w:rPr>
        <w:t>exclusive</w:t>
      </w:r>
      <w:r w:rsidRPr="005D2DA7">
        <w:rPr>
          <w:lang w:val="en-US"/>
        </w:rPr>
        <w:t xml:space="preserve">, but are </w:t>
      </w:r>
      <w:r w:rsidRPr="005B5139">
        <w:rPr>
          <w:lang w:val="en-US"/>
        </w:rPr>
        <w:t>complementary</w:t>
      </w:r>
      <w:r w:rsidRPr="005D2DA7">
        <w:rPr>
          <w:lang w:val="en-US"/>
        </w:rPr>
        <w:t>.</w:t>
      </w:r>
    </w:p>
  </w:footnote>
  <w:footnote w:id="12">
    <w:p w:rsidR="001B512B" w:rsidRPr="005D2DA7" w:rsidRDefault="001B512B" w:rsidP="000C45CC">
      <w:pPr>
        <w:pStyle w:val="FootnoteText"/>
        <w:rPr>
          <w:lang w:val="en-US"/>
        </w:rPr>
      </w:pPr>
      <w:r>
        <w:rPr>
          <w:rStyle w:val="FootnoteReference"/>
        </w:rPr>
        <w:footnoteRef/>
      </w:r>
      <w:r w:rsidRPr="00FE6075">
        <w:rPr>
          <w:rStyle w:val="FootnoteReference"/>
          <w:lang w:val="en-US"/>
        </w:rPr>
        <w:t xml:space="preserve"> </w:t>
      </w:r>
      <w:r w:rsidRPr="005D2DA7">
        <w:rPr>
          <w:lang w:val="en-US"/>
        </w:rPr>
        <w:tab/>
      </w:r>
      <w:r w:rsidRPr="005D2DA7">
        <w:rPr>
          <w:rFonts w:asciiTheme="majorBidi" w:hAnsiTheme="majorBidi" w:cstheme="majorBidi"/>
          <w:szCs w:val="24"/>
          <w:lang w:val="en-US"/>
        </w:rPr>
        <w:t>GeSI SMARTer 2020 Report on “The role of ICT in driving a sustainable future”, December 2012,</w:t>
      </w:r>
      <w:r w:rsidRPr="005D2DA7">
        <w:rPr>
          <w:rFonts w:asciiTheme="majorBidi" w:hAnsiTheme="majorBidi" w:cstheme="majorBidi"/>
          <w:color w:val="1F497D"/>
          <w:szCs w:val="24"/>
          <w:lang w:val="en-US"/>
        </w:rPr>
        <w:t xml:space="preserve"> </w:t>
      </w:r>
      <w:hyperlink r:id="rId7" w:history="1">
        <w:r w:rsidRPr="005D2DA7">
          <w:rPr>
            <w:rStyle w:val="Hyperlink"/>
            <w:rFonts w:asciiTheme="majorBidi" w:hAnsiTheme="majorBidi" w:cstheme="majorBidi"/>
            <w:szCs w:val="24"/>
            <w:lang w:val="en-US"/>
          </w:rPr>
          <w:t>http://gesi.org/SMARTer 2020</w:t>
        </w:r>
      </w:hyperlink>
      <w:r w:rsidRPr="005D2DA7">
        <w:rPr>
          <w:rFonts w:asciiTheme="majorBidi" w:hAnsiTheme="majorBidi" w:cstheme="majorBidi"/>
          <w:szCs w:val="24"/>
          <w:lang w:val="en-US"/>
        </w:rPr>
        <w:t>.</w:t>
      </w:r>
    </w:p>
  </w:footnote>
  <w:footnote w:id="13">
    <w:p w:rsidR="001B512B" w:rsidRPr="00941D2F" w:rsidRDefault="001B512B" w:rsidP="000C45CC">
      <w:pPr>
        <w:pStyle w:val="FootnoteText"/>
        <w:rPr>
          <w:lang w:val="en-US"/>
        </w:rPr>
      </w:pPr>
      <w:r>
        <w:rPr>
          <w:rStyle w:val="FootnoteReference"/>
        </w:rPr>
        <w:footnoteRef/>
      </w:r>
      <w:r w:rsidRPr="005D2DA7">
        <w:rPr>
          <w:lang w:val="en-US"/>
        </w:rPr>
        <w:tab/>
        <w:t xml:space="preserve">Licensed Assisted Access (LAA) will </w:t>
      </w:r>
      <w:r w:rsidRPr="005B5139">
        <w:rPr>
          <w:lang w:val="en-US"/>
        </w:rPr>
        <w:t>enable</w:t>
      </w:r>
      <w:r w:rsidRPr="005D2DA7">
        <w:rPr>
          <w:lang w:val="en-US"/>
        </w:rPr>
        <w:t xml:space="preserve"> </w:t>
      </w:r>
      <w:r w:rsidRPr="005B5139">
        <w:rPr>
          <w:lang w:val="en-US"/>
        </w:rPr>
        <w:t>LTE</w:t>
      </w:r>
      <w:r w:rsidRPr="005D2DA7">
        <w:rPr>
          <w:lang w:val="en-US"/>
        </w:rPr>
        <w:t xml:space="preserve"> in licence-exempt spectrum in a licensed assisted manner, and coexists successfully with other licence-exempt applications.</w:t>
      </w:r>
    </w:p>
  </w:footnote>
  <w:footnote w:id="14">
    <w:p w:rsidR="001B512B" w:rsidRPr="005D2DA7" w:rsidRDefault="001B512B" w:rsidP="000C45CC">
      <w:pPr>
        <w:pStyle w:val="FootnoteText"/>
        <w:rPr>
          <w:lang w:val="en-US"/>
        </w:rPr>
      </w:pPr>
      <w:r>
        <w:rPr>
          <w:rStyle w:val="FootnoteReference"/>
        </w:rPr>
        <w:footnoteRef/>
      </w:r>
      <w:r w:rsidRPr="005D2DA7">
        <w:rPr>
          <w:lang w:val="en-US"/>
        </w:rPr>
        <w:tab/>
      </w:r>
      <w:r w:rsidRPr="005D2DA7">
        <w:rPr>
          <w:szCs w:val="24"/>
          <w:lang w:val="en-US"/>
        </w:rPr>
        <w:t>Ericsson Mobility Report, November 2012.</w:t>
      </w:r>
    </w:p>
  </w:footnote>
  <w:footnote w:id="15">
    <w:p w:rsidR="001B512B" w:rsidRPr="005D2DA7" w:rsidRDefault="001B512B" w:rsidP="000C45CC">
      <w:pPr>
        <w:pStyle w:val="FootnoteText"/>
        <w:rPr>
          <w:rFonts w:asciiTheme="majorBidi" w:hAnsiTheme="majorBidi" w:cstheme="majorBidi"/>
          <w:color w:val="000000"/>
          <w:szCs w:val="24"/>
          <w:lang w:val="en-US"/>
        </w:rPr>
      </w:pPr>
      <w:r w:rsidRPr="00584E73">
        <w:rPr>
          <w:rStyle w:val="FootnoteReference"/>
          <w:color w:val="000000"/>
          <w:szCs w:val="18"/>
        </w:rPr>
        <w:footnoteRef/>
      </w:r>
      <w:r w:rsidRPr="005D2DA7">
        <w:rPr>
          <w:color w:val="000000"/>
          <w:szCs w:val="22"/>
          <w:lang w:val="en-US"/>
        </w:rPr>
        <w:tab/>
      </w:r>
      <w:r w:rsidRPr="005D2DA7">
        <w:rPr>
          <w:rFonts w:asciiTheme="majorBidi" w:hAnsiTheme="majorBidi" w:cstheme="majorBidi"/>
          <w:color w:val="000000"/>
          <w:szCs w:val="24"/>
          <w:lang w:val="en-US"/>
        </w:rPr>
        <w:t xml:space="preserve">Communication Statistics: </w:t>
      </w:r>
      <w:hyperlink r:id="rId8" w:history="1">
        <w:r w:rsidRPr="005D2DA7">
          <w:rPr>
            <w:rStyle w:val="Hyperlink"/>
            <w:rFonts w:asciiTheme="majorBidi" w:hAnsiTheme="majorBidi" w:cstheme="majorBidi"/>
            <w:szCs w:val="24"/>
            <w:lang w:val="en-US"/>
          </w:rPr>
          <w:t>http://internetlivestats.com/one-second/</w:t>
        </w:r>
      </w:hyperlink>
      <w:r w:rsidRPr="005D2DA7">
        <w:rPr>
          <w:rFonts w:asciiTheme="majorBidi" w:hAnsiTheme="majorBidi" w:cstheme="majorBidi"/>
          <w:color w:val="000000"/>
          <w:szCs w:val="24"/>
          <w:lang w:val="en-US"/>
        </w:rPr>
        <w:t>, June 2015.</w:t>
      </w:r>
    </w:p>
  </w:footnote>
  <w:footnote w:id="16">
    <w:p w:rsidR="001B512B" w:rsidRPr="005B5139" w:rsidRDefault="001B512B" w:rsidP="00E315B1">
      <w:pPr>
        <w:pStyle w:val="FootnoteText"/>
        <w:rPr>
          <w:rFonts w:asciiTheme="majorBidi" w:hAnsiTheme="majorBidi" w:cstheme="majorBidi"/>
          <w:szCs w:val="24"/>
          <w:lang w:val="en-US"/>
        </w:rPr>
      </w:pPr>
      <w:r w:rsidRPr="00584E73">
        <w:rPr>
          <w:rStyle w:val="FootnoteReference"/>
          <w:szCs w:val="18"/>
        </w:rPr>
        <w:footnoteRef/>
      </w:r>
      <w:r>
        <w:rPr>
          <w:szCs w:val="22"/>
          <w:lang w:val="en-US"/>
        </w:rPr>
        <w:tab/>
      </w:r>
      <w:r w:rsidRPr="00D15F5C">
        <w:rPr>
          <w:rFonts w:asciiTheme="majorBidi" w:hAnsiTheme="majorBidi" w:cstheme="majorBidi"/>
          <w:szCs w:val="24"/>
          <w:lang w:val="en-US"/>
        </w:rPr>
        <w:t>Cisco Virtual Networking Index : Global Mobile Data Traffic Forecast Update, 5</w:t>
      </w:r>
      <w:r w:rsidRPr="00D15F5C">
        <w:rPr>
          <w:rFonts w:asciiTheme="majorBidi" w:hAnsiTheme="majorBidi" w:cstheme="majorBidi"/>
          <w:szCs w:val="24"/>
          <w:vertAlign w:val="superscript"/>
          <w:lang w:val="en-US"/>
        </w:rPr>
        <w:t xml:space="preserve">th. </w:t>
      </w:r>
      <w:r w:rsidRPr="00D15F5C">
        <w:rPr>
          <w:rFonts w:asciiTheme="majorBidi" w:hAnsiTheme="majorBidi" w:cstheme="majorBidi"/>
          <w:szCs w:val="24"/>
          <w:lang w:val="en-US"/>
        </w:rPr>
        <w:t>February 2015.</w:t>
      </w:r>
      <w:r>
        <w:rPr>
          <w:rFonts w:asciiTheme="majorBidi" w:hAnsiTheme="majorBidi" w:cstheme="majorBidi"/>
          <w:szCs w:val="24"/>
          <w:lang w:val="en-US"/>
        </w:rPr>
        <w:t xml:space="preserve"> </w:t>
      </w:r>
      <w:hyperlink r:id="rId9" w:history="1">
        <w:r w:rsidRPr="005B5139">
          <w:rPr>
            <w:rStyle w:val="Hyperlink"/>
            <w:rFonts w:asciiTheme="majorBidi" w:hAnsiTheme="majorBidi" w:cstheme="majorBidi"/>
            <w:szCs w:val="24"/>
            <w:lang w:val="en-US"/>
          </w:rPr>
          <w:t>http://www.cisco.com/c/en/us/solutions/collateral/service-provider/visual-networking-index-vni/</w:t>
        </w:r>
        <w:r w:rsidRPr="005B5139">
          <w:rPr>
            <w:rStyle w:val="Hyperlink"/>
            <w:rFonts w:asciiTheme="majorBidi" w:hAnsiTheme="majorBidi" w:cstheme="majorBidi"/>
            <w:szCs w:val="24"/>
            <w:lang w:val="en-US"/>
          </w:rPr>
          <w:br/>
          <w:t>white_paper_c11-520862.html</w:t>
        </w:r>
      </w:hyperlink>
    </w:p>
  </w:footnote>
  <w:footnote w:id="17">
    <w:p w:rsidR="001B512B" w:rsidRPr="005D2DA7" w:rsidRDefault="001B512B" w:rsidP="00EA2024">
      <w:pPr>
        <w:pStyle w:val="FootnoteText"/>
        <w:rPr>
          <w:lang w:val="en-US"/>
        </w:rPr>
      </w:pPr>
      <w:r w:rsidRPr="00584E73">
        <w:rPr>
          <w:rStyle w:val="FootnoteReference"/>
          <w:szCs w:val="18"/>
        </w:rPr>
        <w:footnoteRef/>
      </w:r>
      <w:r w:rsidRPr="005D2DA7">
        <w:rPr>
          <w:szCs w:val="22"/>
          <w:lang w:val="en-US"/>
        </w:rPr>
        <w:tab/>
      </w:r>
      <w:r w:rsidRPr="005D2DA7">
        <w:rPr>
          <w:lang w:val="en-US"/>
        </w:rPr>
        <w:t>Estimation provided by China.</w:t>
      </w:r>
    </w:p>
  </w:footnote>
  <w:footnote w:id="18">
    <w:p w:rsidR="001B512B" w:rsidRPr="005D2DA7" w:rsidRDefault="001B512B" w:rsidP="00C91285">
      <w:pPr>
        <w:pStyle w:val="FootnoteText"/>
        <w:rPr>
          <w:szCs w:val="24"/>
          <w:lang w:val="en-US" w:eastAsia="zh-CN"/>
        </w:rPr>
      </w:pPr>
      <w:r w:rsidRPr="00584E73">
        <w:rPr>
          <w:rStyle w:val="FootnoteReference"/>
          <w:szCs w:val="18"/>
        </w:rPr>
        <w:footnoteRef/>
      </w:r>
      <w:r w:rsidRPr="005D2DA7">
        <w:rPr>
          <w:szCs w:val="22"/>
          <w:lang w:val="en-US"/>
        </w:rPr>
        <w:tab/>
      </w:r>
      <w:r w:rsidRPr="005D2DA7">
        <w:rPr>
          <w:szCs w:val="24"/>
          <w:lang w:val="en-US"/>
        </w:rPr>
        <w:t>United Nations, Department of Economic and Social Affairs, Population Division (2013). World Population Prospects: The 2012 Revision, DVD Edition.</w:t>
      </w:r>
    </w:p>
  </w:footnote>
  <w:footnote w:id="19">
    <w:p w:rsidR="001B512B" w:rsidRPr="005D2DA7" w:rsidRDefault="001B512B" w:rsidP="00C91285">
      <w:pPr>
        <w:pStyle w:val="FootnoteText"/>
        <w:rPr>
          <w:szCs w:val="24"/>
          <w:lang w:val="en-US"/>
        </w:rPr>
      </w:pPr>
      <w:r w:rsidRPr="00584E73">
        <w:rPr>
          <w:rStyle w:val="FootnoteReference"/>
          <w:szCs w:val="18"/>
        </w:rPr>
        <w:footnoteRef/>
      </w:r>
      <w:r w:rsidRPr="005D2DA7">
        <w:rPr>
          <w:szCs w:val="22"/>
          <w:lang w:val="en-US"/>
        </w:rPr>
        <w:tab/>
      </w:r>
      <w:r w:rsidRPr="005D2DA7">
        <w:rPr>
          <w:szCs w:val="24"/>
          <w:lang w:val="en-US"/>
        </w:rPr>
        <w:t>Estimation provided by Ericsson.</w:t>
      </w:r>
    </w:p>
  </w:footnote>
  <w:footnote w:id="20">
    <w:p w:rsidR="001B512B" w:rsidRPr="005D2DA7" w:rsidRDefault="001B512B" w:rsidP="00C91285">
      <w:pPr>
        <w:pStyle w:val="FootnoteText"/>
        <w:rPr>
          <w:szCs w:val="22"/>
          <w:lang w:val="en-US"/>
        </w:rPr>
      </w:pPr>
      <w:r w:rsidRPr="00584E73">
        <w:rPr>
          <w:rStyle w:val="FootnoteReference"/>
          <w:szCs w:val="18"/>
        </w:rPr>
        <w:footnoteRef/>
      </w:r>
      <w:r w:rsidRPr="005D2DA7">
        <w:rPr>
          <w:szCs w:val="22"/>
          <w:lang w:val="en-US"/>
        </w:rPr>
        <w:t xml:space="preserve"> </w:t>
      </w:r>
      <w:r w:rsidRPr="005D2DA7">
        <w:rPr>
          <w:szCs w:val="22"/>
          <w:lang w:val="en-US"/>
        </w:rPr>
        <w:tab/>
      </w:r>
      <w:r w:rsidRPr="005D2DA7">
        <w:rPr>
          <w:szCs w:val="24"/>
          <w:lang w:val="en-US"/>
        </w:rPr>
        <w:t>Estimation provided by China.</w:t>
      </w:r>
    </w:p>
  </w:footnote>
  <w:footnote w:id="21">
    <w:p w:rsidR="001B512B" w:rsidRPr="005D2DA7" w:rsidRDefault="001B512B" w:rsidP="003C214E">
      <w:pPr>
        <w:pStyle w:val="FootnoteText"/>
        <w:rPr>
          <w:lang w:val="en-US"/>
        </w:rPr>
      </w:pPr>
      <w:r w:rsidRPr="00C777FE">
        <w:rPr>
          <w:rStyle w:val="FootnoteReference"/>
          <w:szCs w:val="18"/>
        </w:rPr>
        <w:footnoteRef/>
      </w:r>
      <w:r>
        <w:rPr>
          <w:lang w:val="en-US"/>
        </w:rPr>
        <w:tab/>
      </w:r>
      <w:r w:rsidRPr="005D2DA7">
        <w:rPr>
          <w:lang w:val="en-US"/>
        </w:rPr>
        <w:t>Estimation provided by Ericsson.</w:t>
      </w:r>
    </w:p>
  </w:footnote>
  <w:footnote w:id="22">
    <w:p w:rsidR="001B512B" w:rsidRPr="00D15F5C" w:rsidRDefault="001B512B" w:rsidP="003C214E">
      <w:pPr>
        <w:pStyle w:val="FootnoteText"/>
        <w:rPr>
          <w:lang w:val="en-US"/>
        </w:rPr>
      </w:pPr>
      <w:r w:rsidRPr="00C777FE">
        <w:rPr>
          <w:rStyle w:val="FootnoteReference"/>
          <w:szCs w:val="18"/>
        </w:rPr>
        <w:footnoteRef/>
      </w:r>
      <w:r>
        <w:rPr>
          <w:lang w:val="en-US"/>
        </w:rPr>
        <w:tab/>
      </w:r>
      <w:r w:rsidRPr="00D15F5C">
        <w:rPr>
          <w:lang w:val="en-US"/>
        </w:rPr>
        <w:t>Network capacity units:</w:t>
      </w:r>
    </w:p>
    <w:tbl>
      <w:tblPr>
        <w:tblW w:w="8930" w:type="dxa"/>
        <w:tblInd w:w="993" w:type="dxa"/>
        <w:tblLook w:val="04A0" w:firstRow="1" w:lastRow="0" w:firstColumn="1" w:lastColumn="0" w:noHBand="0" w:noVBand="1"/>
      </w:tblPr>
      <w:tblGrid>
        <w:gridCol w:w="2976"/>
        <w:gridCol w:w="5954"/>
      </w:tblGrid>
      <w:tr w:rsidR="001B512B" w:rsidRPr="00D15F5C" w:rsidTr="00D513B3">
        <w:tc>
          <w:tcPr>
            <w:tcW w:w="2976" w:type="dxa"/>
          </w:tcPr>
          <w:p w:rsidR="001B512B" w:rsidRPr="00D15F5C" w:rsidRDefault="001B512B" w:rsidP="00D513B3">
            <w:pPr>
              <w:overflowPunct/>
              <w:spacing w:before="0"/>
              <w:textAlignment w:val="auto"/>
              <w:rPr>
                <w:b/>
                <w:bCs/>
                <w:szCs w:val="24"/>
                <w:lang w:val="en-US" w:eastAsia="zh-CN"/>
              </w:rPr>
            </w:pPr>
            <w:r w:rsidRPr="00D15F5C">
              <w:rPr>
                <w:bCs/>
                <w:szCs w:val="24"/>
                <w:lang w:val="en-US" w:eastAsia="zh-CN"/>
              </w:rPr>
              <w:t>Zetabyte   ZB=10</w:t>
            </w:r>
            <w:r w:rsidRPr="00D15F5C">
              <w:rPr>
                <w:bCs/>
                <w:szCs w:val="24"/>
                <w:vertAlign w:val="superscript"/>
                <w:lang w:val="en-US" w:eastAsia="zh-CN"/>
              </w:rPr>
              <w:t xml:space="preserve">21 </w:t>
            </w:r>
            <w:r w:rsidRPr="00D15F5C">
              <w:rPr>
                <w:bCs/>
                <w:szCs w:val="24"/>
                <w:lang w:val="en-US" w:eastAsia="zh-CN"/>
              </w:rPr>
              <w:t>B</w:t>
            </w:r>
          </w:p>
          <w:p w:rsidR="001B512B" w:rsidRPr="00D15F5C" w:rsidRDefault="001B512B" w:rsidP="00D513B3">
            <w:pPr>
              <w:overflowPunct/>
              <w:spacing w:before="0"/>
              <w:textAlignment w:val="auto"/>
              <w:rPr>
                <w:b/>
                <w:bCs/>
                <w:szCs w:val="24"/>
                <w:lang w:val="en-US" w:eastAsia="zh-CN"/>
              </w:rPr>
            </w:pPr>
            <w:r w:rsidRPr="00D15F5C">
              <w:rPr>
                <w:bCs/>
                <w:szCs w:val="24"/>
                <w:lang w:val="en-US" w:eastAsia="zh-CN"/>
              </w:rPr>
              <w:t>Exabyte    EB=10</w:t>
            </w:r>
            <w:r w:rsidRPr="00D15F5C">
              <w:rPr>
                <w:bCs/>
                <w:szCs w:val="24"/>
                <w:vertAlign w:val="superscript"/>
                <w:lang w:val="en-US" w:eastAsia="zh-CN"/>
              </w:rPr>
              <w:t>18</w:t>
            </w:r>
            <w:r w:rsidRPr="00D15F5C">
              <w:rPr>
                <w:bCs/>
                <w:szCs w:val="24"/>
                <w:lang w:val="en-US" w:eastAsia="zh-CN"/>
              </w:rPr>
              <w:t xml:space="preserve"> B</w:t>
            </w:r>
          </w:p>
          <w:p w:rsidR="001B512B" w:rsidRPr="00D15F5C" w:rsidRDefault="001B512B" w:rsidP="00D513B3">
            <w:pPr>
              <w:overflowPunct/>
              <w:spacing w:before="0"/>
              <w:textAlignment w:val="auto"/>
              <w:rPr>
                <w:bCs/>
                <w:szCs w:val="24"/>
                <w:lang w:val="en-US" w:eastAsia="zh-CN"/>
              </w:rPr>
            </w:pPr>
            <w:r w:rsidRPr="00D15F5C">
              <w:rPr>
                <w:bCs/>
                <w:szCs w:val="24"/>
                <w:lang w:val="en-US" w:eastAsia="zh-CN"/>
              </w:rPr>
              <w:t>Petabyte   PB=10</w:t>
            </w:r>
            <w:r w:rsidRPr="00D15F5C">
              <w:rPr>
                <w:bCs/>
                <w:szCs w:val="24"/>
                <w:vertAlign w:val="superscript"/>
                <w:lang w:val="en-US" w:eastAsia="zh-CN"/>
              </w:rPr>
              <w:t xml:space="preserve">15 </w:t>
            </w:r>
            <w:r w:rsidRPr="00D15F5C">
              <w:rPr>
                <w:bCs/>
                <w:szCs w:val="24"/>
                <w:lang w:val="en-US" w:eastAsia="zh-CN"/>
              </w:rPr>
              <w:t>B</w:t>
            </w:r>
          </w:p>
          <w:p w:rsidR="001B512B" w:rsidRPr="00D15F5C" w:rsidRDefault="001B512B" w:rsidP="00D513B3">
            <w:pPr>
              <w:overflowPunct/>
              <w:spacing w:before="0"/>
              <w:textAlignment w:val="auto"/>
              <w:rPr>
                <w:bCs/>
                <w:szCs w:val="24"/>
                <w:lang w:val="en-US" w:eastAsia="zh-CN"/>
              </w:rPr>
            </w:pPr>
            <w:r w:rsidRPr="00D15F5C">
              <w:rPr>
                <w:bCs/>
                <w:szCs w:val="24"/>
                <w:lang w:val="en-US" w:eastAsia="zh-CN"/>
              </w:rPr>
              <w:t>Terabyte   TB=10</w:t>
            </w:r>
            <w:r w:rsidRPr="00D15F5C">
              <w:rPr>
                <w:bCs/>
                <w:szCs w:val="24"/>
                <w:vertAlign w:val="superscript"/>
                <w:lang w:val="en-US" w:eastAsia="zh-CN"/>
              </w:rPr>
              <w:t xml:space="preserve">12 </w:t>
            </w:r>
            <w:r w:rsidRPr="00D15F5C">
              <w:rPr>
                <w:bCs/>
                <w:szCs w:val="24"/>
                <w:lang w:val="en-US" w:eastAsia="zh-CN"/>
              </w:rPr>
              <w:t>B</w:t>
            </w:r>
          </w:p>
          <w:p w:rsidR="001B512B" w:rsidRPr="00D15F5C" w:rsidRDefault="001B512B" w:rsidP="00D513B3">
            <w:pPr>
              <w:overflowPunct/>
              <w:spacing w:before="0"/>
              <w:textAlignment w:val="auto"/>
              <w:rPr>
                <w:bCs/>
                <w:szCs w:val="24"/>
                <w:lang w:val="en-US" w:eastAsia="zh-CN"/>
              </w:rPr>
            </w:pPr>
            <w:r w:rsidRPr="00D15F5C">
              <w:rPr>
                <w:bCs/>
                <w:szCs w:val="24"/>
                <w:lang w:val="en-US" w:eastAsia="zh-CN"/>
              </w:rPr>
              <w:t>Gigabyte  GB=10</w:t>
            </w:r>
            <w:r w:rsidRPr="00D15F5C">
              <w:rPr>
                <w:bCs/>
                <w:szCs w:val="24"/>
                <w:vertAlign w:val="superscript"/>
                <w:lang w:val="en-US" w:eastAsia="zh-CN"/>
              </w:rPr>
              <w:t xml:space="preserve">9 </w:t>
            </w:r>
            <w:r w:rsidRPr="00D15F5C">
              <w:rPr>
                <w:bCs/>
                <w:szCs w:val="24"/>
                <w:lang w:val="en-US" w:eastAsia="zh-CN"/>
              </w:rPr>
              <w:t>B</w:t>
            </w:r>
          </w:p>
          <w:p w:rsidR="001B512B" w:rsidRPr="00D15F5C" w:rsidRDefault="001B512B" w:rsidP="00D513B3">
            <w:pPr>
              <w:overflowPunct/>
              <w:spacing w:before="0"/>
              <w:textAlignment w:val="auto"/>
              <w:rPr>
                <w:bCs/>
                <w:szCs w:val="24"/>
                <w:lang w:val="pl-PL" w:eastAsia="zh-CN"/>
              </w:rPr>
            </w:pPr>
            <w:r w:rsidRPr="00D15F5C">
              <w:rPr>
                <w:bCs/>
                <w:szCs w:val="24"/>
                <w:lang w:val="pl-PL" w:eastAsia="zh-CN"/>
              </w:rPr>
              <w:t>Megabyte MB=10</w:t>
            </w:r>
            <w:r w:rsidRPr="00D15F5C">
              <w:rPr>
                <w:bCs/>
                <w:szCs w:val="24"/>
                <w:vertAlign w:val="superscript"/>
                <w:lang w:val="pl-PL" w:eastAsia="zh-CN"/>
              </w:rPr>
              <w:t xml:space="preserve">6 </w:t>
            </w:r>
            <w:r w:rsidRPr="00D15F5C">
              <w:rPr>
                <w:bCs/>
                <w:szCs w:val="24"/>
                <w:lang w:val="pl-PL" w:eastAsia="zh-CN"/>
              </w:rPr>
              <w:t>B</w:t>
            </w:r>
          </w:p>
          <w:p w:rsidR="001B512B" w:rsidRPr="00D15F5C" w:rsidRDefault="001B512B" w:rsidP="00D513B3">
            <w:pPr>
              <w:overflowPunct/>
              <w:spacing w:before="0"/>
              <w:textAlignment w:val="auto"/>
              <w:rPr>
                <w:bCs/>
                <w:szCs w:val="24"/>
                <w:lang w:val="pl-PL" w:eastAsia="ja-JP"/>
              </w:rPr>
            </w:pPr>
            <w:r w:rsidRPr="00D15F5C">
              <w:rPr>
                <w:bCs/>
                <w:szCs w:val="24"/>
                <w:lang w:val="pl-PL" w:eastAsia="zh-CN"/>
              </w:rPr>
              <w:t>Kilobyte   kB=10</w:t>
            </w:r>
            <w:r w:rsidRPr="00D15F5C">
              <w:rPr>
                <w:bCs/>
                <w:szCs w:val="24"/>
                <w:vertAlign w:val="superscript"/>
                <w:lang w:val="pl-PL" w:eastAsia="zh-CN"/>
              </w:rPr>
              <w:t xml:space="preserve">3 </w:t>
            </w:r>
            <w:r w:rsidRPr="00D15F5C">
              <w:rPr>
                <w:bCs/>
                <w:szCs w:val="24"/>
                <w:lang w:val="pl-PL" w:eastAsia="zh-CN"/>
              </w:rPr>
              <w:t>B</w:t>
            </w:r>
          </w:p>
        </w:tc>
        <w:tc>
          <w:tcPr>
            <w:tcW w:w="5954" w:type="dxa"/>
          </w:tcPr>
          <w:p w:rsidR="001B512B" w:rsidRPr="00D15F5C" w:rsidRDefault="001B512B" w:rsidP="00D513B3">
            <w:pPr>
              <w:overflowPunct/>
              <w:spacing w:before="0"/>
              <w:ind w:firstLine="35"/>
              <w:textAlignment w:val="auto"/>
              <w:rPr>
                <w:szCs w:val="24"/>
                <w:lang w:val="pl-PL"/>
              </w:rPr>
            </w:pPr>
            <w:r w:rsidRPr="00D15F5C">
              <w:rPr>
                <w:szCs w:val="24"/>
                <w:lang w:val="pl-PL"/>
              </w:rPr>
              <w:t>1 Zetabyte = 1</w:t>
            </w:r>
            <w:r w:rsidRPr="00D15F5C">
              <w:rPr>
                <w:rFonts w:hint="eastAsia"/>
                <w:szCs w:val="24"/>
                <w:lang w:val="pl-PL" w:eastAsia="ja-JP"/>
              </w:rPr>
              <w:t xml:space="preserve"> </w:t>
            </w:r>
            <w:r w:rsidRPr="00D15F5C">
              <w:rPr>
                <w:szCs w:val="24"/>
                <w:lang w:val="pl-PL"/>
              </w:rPr>
              <w:t>000 Exabytes = 1</w:t>
            </w:r>
            <w:r w:rsidRPr="00D15F5C">
              <w:rPr>
                <w:rFonts w:hint="eastAsia"/>
                <w:szCs w:val="24"/>
                <w:lang w:val="pl-PL" w:eastAsia="ja-JP"/>
              </w:rPr>
              <w:t xml:space="preserve"> </w:t>
            </w:r>
            <w:r w:rsidRPr="00D15F5C">
              <w:rPr>
                <w:szCs w:val="24"/>
                <w:lang w:val="pl-PL"/>
              </w:rPr>
              <w:t>000</w:t>
            </w:r>
            <w:r w:rsidRPr="00D15F5C">
              <w:rPr>
                <w:rFonts w:hint="eastAsia"/>
                <w:szCs w:val="24"/>
                <w:lang w:val="pl-PL" w:eastAsia="ja-JP"/>
              </w:rPr>
              <w:t xml:space="preserve"> </w:t>
            </w:r>
            <w:r w:rsidRPr="00D15F5C">
              <w:rPr>
                <w:szCs w:val="24"/>
                <w:lang w:val="pl-PL"/>
              </w:rPr>
              <w:t xml:space="preserve">0000 Petabytes </w:t>
            </w:r>
          </w:p>
          <w:p w:rsidR="001B512B" w:rsidRPr="00D15F5C" w:rsidRDefault="001B512B" w:rsidP="00D513B3">
            <w:pPr>
              <w:overflowPunct/>
              <w:spacing w:before="0"/>
              <w:ind w:firstLine="35"/>
              <w:textAlignment w:val="auto"/>
              <w:rPr>
                <w:szCs w:val="24"/>
                <w:lang w:val="pl-PL" w:eastAsia="ja-JP"/>
              </w:rPr>
            </w:pPr>
            <w:r w:rsidRPr="00D15F5C">
              <w:rPr>
                <w:szCs w:val="24"/>
                <w:lang w:val="pl-PL"/>
              </w:rPr>
              <w:t>1 Exabyte</w:t>
            </w:r>
            <w:r w:rsidRPr="00D15F5C">
              <w:rPr>
                <w:rFonts w:hint="eastAsia"/>
                <w:szCs w:val="24"/>
                <w:lang w:val="pl-PL" w:eastAsia="ja-JP"/>
              </w:rPr>
              <w:t xml:space="preserve"> </w:t>
            </w:r>
            <w:r w:rsidRPr="00D15F5C">
              <w:rPr>
                <w:szCs w:val="24"/>
                <w:lang w:val="pl-PL"/>
              </w:rPr>
              <w:t>= 1</w:t>
            </w:r>
            <w:r w:rsidRPr="00D15F5C">
              <w:rPr>
                <w:rFonts w:hint="eastAsia"/>
                <w:szCs w:val="24"/>
                <w:lang w:val="pl-PL" w:eastAsia="ja-JP"/>
              </w:rPr>
              <w:t xml:space="preserve"> </w:t>
            </w:r>
            <w:r w:rsidRPr="00D15F5C">
              <w:rPr>
                <w:szCs w:val="24"/>
                <w:lang w:val="pl-PL"/>
              </w:rPr>
              <w:t>000 Petabytes = 1</w:t>
            </w:r>
            <w:r w:rsidRPr="00D15F5C">
              <w:rPr>
                <w:rFonts w:hint="eastAsia"/>
                <w:szCs w:val="24"/>
                <w:lang w:val="pl-PL" w:eastAsia="ja-JP"/>
              </w:rPr>
              <w:t xml:space="preserve"> </w:t>
            </w:r>
            <w:r w:rsidRPr="00D15F5C">
              <w:rPr>
                <w:szCs w:val="24"/>
                <w:lang w:val="pl-PL"/>
              </w:rPr>
              <w:t>000</w:t>
            </w:r>
            <w:r w:rsidRPr="00D15F5C">
              <w:rPr>
                <w:rFonts w:hint="eastAsia"/>
                <w:szCs w:val="24"/>
                <w:lang w:val="pl-PL" w:eastAsia="ja-JP"/>
              </w:rPr>
              <w:t xml:space="preserve"> </w:t>
            </w:r>
            <w:r w:rsidRPr="00D15F5C">
              <w:rPr>
                <w:szCs w:val="24"/>
                <w:lang w:val="pl-PL"/>
              </w:rPr>
              <w:t xml:space="preserve">000 Terabytes </w:t>
            </w:r>
          </w:p>
          <w:p w:rsidR="001B512B" w:rsidRPr="00D15F5C" w:rsidRDefault="001B512B" w:rsidP="00D513B3">
            <w:pPr>
              <w:overflowPunct/>
              <w:spacing w:before="0"/>
              <w:ind w:firstLine="35"/>
              <w:textAlignment w:val="auto"/>
              <w:rPr>
                <w:szCs w:val="24"/>
                <w:lang w:val="pl-PL" w:eastAsia="ja-JP"/>
              </w:rPr>
            </w:pPr>
            <w:r w:rsidRPr="00D15F5C">
              <w:rPr>
                <w:szCs w:val="24"/>
                <w:lang w:val="pl-PL"/>
              </w:rPr>
              <w:t>1 Petabyte</w:t>
            </w:r>
            <w:r w:rsidRPr="00D15F5C">
              <w:rPr>
                <w:rFonts w:hint="eastAsia"/>
                <w:szCs w:val="24"/>
                <w:lang w:val="pl-PL" w:eastAsia="ja-JP"/>
              </w:rPr>
              <w:t xml:space="preserve"> </w:t>
            </w:r>
            <w:r w:rsidRPr="00D15F5C">
              <w:rPr>
                <w:szCs w:val="24"/>
                <w:lang w:val="pl-PL"/>
              </w:rPr>
              <w:t>=</w:t>
            </w:r>
            <w:r w:rsidRPr="00D15F5C">
              <w:rPr>
                <w:rFonts w:hint="eastAsia"/>
                <w:szCs w:val="24"/>
                <w:lang w:val="pl-PL" w:eastAsia="ja-JP"/>
              </w:rPr>
              <w:t xml:space="preserve"> </w:t>
            </w:r>
            <w:r w:rsidRPr="00D15F5C">
              <w:rPr>
                <w:szCs w:val="24"/>
                <w:lang w:val="pl-PL"/>
              </w:rPr>
              <w:t>1</w:t>
            </w:r>
            <w:r w:rsidRPr="00D15F5C">
              <w:rPr>
                <w:rFonts w:hint="eastAsia"/>
                <w:szCs w:val="24"/>
                <w:lang w:val="pl-PL" w:eastAsia="ja-JP"/>
              </w:rPr>
              <w:t xml:space="preserve"> </w:t>
            </w:r>
            <w:r w:rsidRPr="00D15F5C">
              <w:rPr>
                <w:szCs w:val="24"/>
                <w:lang w:val="pl-PL"/>
              </w:rPr>
              <w:t>000 Terabytes = 1</w:t>
            </w:r>
            <w:r w:rsidRPr="00D15F5C">
              <w:rPr>
                <w:rFonts w:hint="eastAsia"/>
                <w:szCs w:val="24"/>
                <w:lang w:val="pl-PL" w:eastAsia="ja-JP"/>
              </w:rPr>
              <w:t xml:space="preserve"> </w:t>
            </w:r>
            <w:r w:rsidRPr="00D15F5C">
              <w:rPr>
                <w:szCs w:val="24"/>
                <w:lang w:val="pl-PL"/>
              </w:rPr>
              <w:t>000</w:t>
            </w:r>
            <w:r w:rsidRPr="00D15F5C">
              <w:rPr>
                <w:rFonts w:hint="eastAsia"/>
                <w:szCs w:val="24"/>
                <w:lang w:val="pl-PL" w:eastAsia="ja-JP"/>
              </w:rPr>
              <w:t xml:space="preserve"> </w:t>
            </w:r>
            <w:r w:rsidRPr="00D15F5C">
              <w:rPr>
                <w:szCs w:val="24"/>
                <w:lang w:val="pl-PL"/>
              </w:rPr>
              <w:t>000 Gigabytes</w:t>
            </w:r>
          </w:p>
          <w:p w:rsidR="001B512B" w:rsidRPr="00D15F5C" w:rsidRDefault="001B512B" w:rsidP="00D513B3">
            <w:pPr>
              <w:overflowPunct/>
              <w:spacing w:before="0"/>
              <w:ind w:firstLine="35"/>
              <w:textAlignment w:val="auto"/>
              <w:rPr>
                <w:szCs w:val="24"/>
                <w:lang w:val="pl-PL" w:eastAsia="ja-JP"/>
              </w:rPr>
            </w:pPr>
            <w:r w:rsidRPr="00D15F5C">
              <w:rPr>
                <w:szCs w:val="24"/>
                <w:lang w:val="pl-PL"/>
              </w:rPr>
              <w:t>1 Terabyte</w:t>
            </w:r>
            <w:r w:rsidRPr="00D15F5C">
              <w:rPr>
                <w:rFonts w:hint="eastAsia"/>
                <w:szCs w:val="24"/>
                <w:lang w:val="pl-PL" w:eastAsia="ja-JP"/>
              </w:rPr>
              <w:t xml:space="preserve"> </w:t>
            </w:r>
            <w:r w:rsidRPr="00D15F5C">
              <w:rPr>
                <w:szCs w:val="24"/>
                <w:lang w:val="pl-PL"/>
              </w:rPr>
              <w:t>=</w:t>
            </w:r>
            <w:r w:rsidRPr="00D15F5C">
              <w:rPr>
                <w:rFonts w:hint="eastAsia"/>
                <w:szCs w:val="24"/>
                <w:lang w:val="pl-PL" w:eastAsia="ja-JP"/>
              </w:rPr>
              <w:t xml:space="preserve"> </w:t>
            </w:r>
            <w:r w:rsidRPr="00D15F5C">
              <w:rPr>
                <w:szCs w:val="24"/>
                <w:lang w:val="pl-PL"/>
              </w:rPr>
              <w:t>1</w:t>
            </w:r>
            <w:r w:rsidRPr="00D15F5C">
              <w:rPr>
                <w:rFonts w:hint="eastAsia"/>
                <w:szCs w:val="24"/>
                <w:lang w:val="pl-PL" w:eastAsia="ja-JP"/>
              </w:rPr>
              <w:t xml:space="preserve"> </w:t>
            </w:r>
            <w:r w:rsidRPr="00D15F5C">
              <w:rPr>
                <w:szCs w:val="24"/>
                <w:lang w:val="pl-PL"/>
              </w:rPr>
              <w:t>000 Gigabytes</w:t>
            </w:r>
          </w:p>
          <w:p w:rsidR="001B512B" w:rsidRPr="00D15F5C" w:rsidRDefault="001B512B" w:rsidP="00D513B3">
            <w:pPr>
              <w:overflowPunct/>
              <w:spacing w:before="0"/>
              <w:ind w:firstLine="35"/>
              <w:textAlignment w:val="auto"/>
              <w:rPr>
                <w:szCs w:val="24"/>
                <w:lang w:val="en-US" w:eastAsia="ja-JP"/>
              </w:rPr>
            </w:pPr>
            <w:r w:rsidRPr="00D15F5C">
              <w:rPr>
                <w:szCs w:val="24"/>
                <w:lang w:val="en-US"/>
              </w:rPr>
              <w:t>1 Gigabyte</w:t>
            </w:r>
            <w:r w:rsidRPr="00D15F5C">
              <w:rPr>
                <w:rFonts w:hint="eastAsia"/>
                <w:szCs w:val="24"/>
                <w:lang w:val="en-US" w:eastAsia="ja-JP"/>
              </w:rPr>
              <w:t xml:space="preserve"> </w:t>
            </w:r>
            <w:r w:rsidRPr="00D15F5C">
              <w:rPr>
                <w:szCs w:val="24"/>
                <w:lang w:val="en-US"/>
              </w:rPr>
              <w:t>=</w:t>
            </w:r>
            <w:r w:rsidRPr="00D15F5C">
              <w:rPr>
                <w:rFonts w:hint="eastAsia"/>
                <w:szCs w:val="24"/>
                <w:lang w:val="en-US" w:eastAsia="ja-JP"/>
              </w:rPr>
              <w:t xml:space="preserve"> </w:t>
            </w:r>
            <w:r w:rsidRPr="00D15F5C">
              <w:rPr>
                <w:szCs w:val="24"/>
                <w:lang w:val="en-US"/>
              </w:rPr>
              <w:t>1</w:t>
            </w:r>
            <w:r w:rsidRPr="00D15F5C">
              <w:rPr>
                <w:rFonts w:hint="eastAsia"/>
                <w:szCs w:val="24"/>
                <w:lang w:val="en-US" w:eastAsia="ja-JP"/>
              </w:rPr>
              <w:t xml:space="preserve"> </w:t>
            </w:r>
            <w:r w:rsidRPr="00D15F5C">
              <w:rPr>
                <w:szCs w:val="24"/>
                <w:lang w:val="en-US"/>
              </w:rPr>
              <w:t>000 Megabytes</w:t>
            </w:r>
          </w:p>
          <w:p w:rsidR="001B512B" w:rsidRPr="00D15F5C" w:rsidRDefault="001B512B" w:rsidP="00D513B3">
            <w:pPr>
              <w:overflowPunct/>
              <w:spacing w:before="0"/>
              <w:ind w:firstLine="35"/>
              <w:textAlignment w:val="auto"/>
              <w:rPr>
                <w:bCs/>
                <w:szCs w:val="24"/>
                <w:lang w:val="en-US" w:eastAsia="ja-JP"/>
              </w:rPr>
            </w:pPr>
          </w:p>
        </w:tc>
      </w:tr>
    </w:tbl>
    <w:p w:rsidR="001B512B" w:rsidRPr="00690F14" w:rsidRDefault="001B512B" w:rsidP="005D2DA7">
      <w:pPr>
        <w:overflowPunct/>
        <w:spacing w:before="0"/>
        <w:ind w:firstLine="720"/>
        <w:textAlignment w:val="auto"/>
        <w:rPr>
          <w:sz w:val="18"/>
          <w:lang w:eastAsia="ja-JP"/>
        </w:rPr>
      </w:pPr>
    </w:p>
  </w:footnote>
  <w:footnote w:id="23">
    <w:p w:rsidR="001B512B" w:rsidRPr="00D15F5C" w:rsidRDefault="001B512B" w:rsidP="003C214E">
      <w:pPr>
        <w:pStyle w:val="FootnoteText"/>
      </w:pPr>
      <w:r w:rsidRPr="00584E73">
        <w:rPr>
          <w:rStyle w:val="FootnoteReference"/>
          <w:szCs w:val="18"/>
        </w:rPr>
        <w:footnoteRef/>
      </w:r>
      <w:r w:rsidRPr="0034160B">
        <w:rPr>
          <w:szCs w:val="22"/>
        </w:rPr>
        <w:t xml:space="preserve"> </w:t>
      </w:r>
      <w:r>
        <w:rPr>
          <w:szCs w:val="22"/>
        </w:rPr>
        <w:tab/>
      </w:r>
      <w:r w:rsidRPr="00D15F5C">
        <w:t>Estimation provided by Nokia.</w:t>
      </w:r>
    </w:p>
  </w:footnote>
  <w:footnote w:id="24">
    <w:p w:rsidR="001B512B" w:rsidRPr="003C0EEF" w:rsidRDefault="001B512B" w:rsidP="003C214E">
      <w:pPr>
        <w:pStyle w:val="FootnoteText"/>
        <w:rPr>
          <w:lang w:val="en-US"/>
        </w:rPr>
      </w:pPr>
      <w:r w:rsidRPr="00584E73">
        <w:rPr>
          <w:rStyle w:val="FootnoteReference"/>
          <w:szCs w:val="18"/>
        </w:rPr>
        <w:footnoteRef/>
      </w:r>
      <w:r w:rsidRPr="005D2DA7">
        <w:rPr>
          <w:sz w:val="18"/>
          <w:szCs w:val="18"/>
          <w:lang w:val="en-US"/>
        </w:rPr>
        <w:t xml:space="preserve"> </w:t>
      </w:r>
      <w:r w:rsidRPr="005D2DA7">
        <w:rPr>
          <w:szCs w:val="22"/>
          <w:lang w:val="en-US"/>
        </w:rPr>
        <w:tab/>
      </w:r>
      <w:r w:rsidRPr="005D2DA7">
        <w:rPr>
          <w:lang w:val="en-US"/>
        </w:rPr>
        <w:t xml:space="preserve">Global Internet Phenomena Report: Sandvine-Intelligent Broadband Networks, </w:t>
      </w:r>
      <w:hyperlink r:id="rId10" w:history="1">
        <w:r w:rsidRPr="005D2DA7">
          <w:rPr>
            <w:rStyle w:val="Hyperlink"/>
            <w:rFonts w:asciiTheme="majorBidi" w:hAnsiTheme="majorBidi" w:cstheme="majorBidi"/>
            <w:szCs w:val="24"/>
            <w:lang w:val="en-US"/>
          </w:rPr>
          <w:t>www.sandvine.com</w:t>
        </w:r>
      </w:hyperlink>
      <w:r w:rsidRPr="005D2DA7">
        <w:rPr>
          <w:lang w:val="en-US"/>
        </w:rPr>
        <w:t>, February 2013.</w:t>
      </w:r>
    </w:p>
  </w:footnote>
  <w:footnote w:id="25">
    <w:p w:rsidR="001B512B" w:rsidRPr="00A4301B" w:rsidRDefault="001B512B" w:rsidP="00A4301B">
      <w:pPr>
        <w:pStyle w:val="FootnoteText"/>
        <w:rPr>
          <w:rFonts w:asciiTheme="majorBidi" w:hAnsiTheme="majorBidi" w:cstheme="majorBidi"/>
          <w:color w:val="000000"/>
          <w:szCs w:val="24"/>
          <w:lang w:val="en-US"/>
        </w:rPr>
      </w:pPr>
      <w:r w:rsidRPr="00584E73">
        <w:rPr>
          <w:rStyle w:val="FootnoteReference"/>
          <w:color w:val="000000"/>
          <w:szCs w:val="18"/>
        </w:rPr>
        <w:footnoteRef/>
      </w:r>
      <w:r w:rsidRPr="00A4301B">
        <w:rPr>
          <w:color w:val="000000"/>
          <w:szCs w:val="22"/>
          <w:lang w:val="en-US"/>
        </w:rPr>
        <w:tab/>
      </w:r>
      <w:hyperlink r:id="rId11" w:history="1">
        <w:r w:rsidRPr="00A4301B">
          <w:rPr>
            <w:rStyle w:val="Hyperlink"/>
            <w:rFonts w:asciiTheme="majorBidi" w:hAnsiTheme="majorBidi" w:cstheme="majorBidi"/>
            <w:color w:val="000000"/>
            <w:szCs w:val="24"/>
            <w:lang w:val="en-US"/>
          </w:rPr>
          <w:t>http://fr.slideshare.net/zahidtg/plum-june2011-benefitsof14ghzspectrumformultimediaservices</w:t>
        </w:r>
      </w:hyperlink>
    </w:p>
  </w:footnote>
  <w:footnote w:id="26">
    <w:p w:rsidR="001B512B" w:rsidRPr="003C0EEF" w:rsidRDefault="001B512B" w:rsidP="00A4301B">
      <w:pPr>
        <w:pStyle w:val="FootnoteText"/>
        <w:rPr>
          <w:rFonts w:asciiTheme="majorBidi" w:hAnsiTheme="majorBidi" w:cstheme="majorBidi"/>
          <w:color w:val="000000"/>
          <w:szCs w:val="24"/>
          <w:lang w:val="en-US"/>
        </w:rPr>
      </w:pPr>
      <w:r w:rsidRPr="00584E73">
        <w:rPr>
          <w:rStyle w:val="FootnoteReference"/>
          <w:color w:val="000000"/>
          <w:szCs w:val="18"/>
        </w:rPr>
        <w:footnoteRef/>
      </w:r>
      <w:r w:rsidRPr="00B93597">
        <w:rPr>
          <w:color w:val="000000"/>
          <w:szCs w:val="22"/>
          <w:lang w:val="en-US"/>
        </w:rPr>
        <w:tab/>
      </w:r>
      <w:hyperlink r:id="rId12" w:history="1">
        <w:r w:rsidRPr="00A4301B">
          <w:rPr>
            <w:rStyle w:val="Hyperlink"/>
            <w:rFonts w:asciiTheme="majorBidi" w:hAnsiTheme="majorBidi" w:cstheme="majorBidi"/>
            <w:color w:val="000000"/>
            <w:szCs w:val="24"/>
            <w:lang w:val="en-US"/>
          </w:rPr>
          <w:t>http</w:t>
        </w:r>
        <w:r w:rsidRPr="003C0EEF">
          <w:rPr>
            <w:rStyle w:val="Hyperlink"/>
            <w:rFonts w:asciiTheme="majorBidi" w:hAnsiTheme="majorBidi" w:cstheme="majorBidi"/>
            <w:color w:val="000000"/>
            <w:szCs w:val="24"/>
            <w:lang w:val="en-US"/>
          </w:rPr>
          <w:t>://www.gsma.com/connectedliving/wp-content/uploads/2013/03/Presentation-5-Madame-Hunag-China-Mobile.pdf</w:t>
        </w:r>
      </w:hyperlink>
      <w:r w:rsidRPr="003C0EEF">
        <w:rPr>
          <w:rFonts w:asciiTheme="majorBidi" w:hAnsiTheme="majorBidi" w:cstheme="majorBidi"/>
          <w:color w:val="000000"/>
          <w:szCs w:val="24"/>
          <w:lang w:val="en-US"/>
        </w:rPr>
        <w:t xml:space="preserve"> slide 3 for Mobile Broadband Era.</w:t>
      </w:r>
    </w:p>
  </w:footnote>
  <w:footnote w:id="27">
    <w:p w:rsidR="001B512B" w:rsidRPr="005D2DA7" w:rsidRDefault="001B512B" w:rsidP="003C214E">
      <w:pPr>
        <w:pStyle w:val="FootnoteText"/>
        <w:rPr>
          <w:lang w:val="en-US" w:eastAsia="zh-CN"/>
        </w:rPr>
      </w:pPr>
      <w:r w:rsidRPr="00584E73">
        <w:rPr>
          <w:rStyle w:val="FootnoteReference"/>
          <w:szCs w:val="18"/>
        </w:rPr>
        <w:footnoteRef/>
      </w:r>
      <w:r w:rsidRPr="005D2DA7">
        <w:rPr>
          <w:szCs w:val="22"/>
          <w:lang w:val="en-US"/>
        </w:rPr>
        <w:t xml:space="preserve"> </w:t>
      </w:r>
      <w:r w:rsidRPr="005D2DA7">
        <w:rPr>
          <w:szCs w:val="22"/>
          <w:lang w:val="en-US"/>
        </w:rPr>
        <w:tab/>
      </w:r>
      <w:r w:rsidRPr="005D2DA7">
        <w:rPr>
          <w:lang w:val="en-US"/>
        </w:rPr>
        <w:t>A service which provides the means for the bidirectional exchange of information between users or between users and hosts. According to ITU-R M.1224, interactive services are subdivided into three classes of services: conversational services, messaging services and retrieval services.</w:t>
      </w:r>
    </w:p>
  </w:footnote>
  <w:footnote w:id="28">
    <w:p w:rsidR="001B512B" w:rsidRPr="003C0EEF" w:rsidRDefault="001B512B" w:rsidP="00DA65B8">
      <w:pPr>
        <w:pStyle w:val="FootnoteText"/>
        <w:rPr>
          <w:rFonts w:cstheme="majorBidi"/>
          <w:color w:val="000000" w:themeColor="text1"/>
          <w:sz w:val="24"/>
          <w:lang w:val="en-US"/>
        </w:rPr>
      </w:pPr>
      <w:r w:rsidRPr="00584E73">
        <w:rPr>
          <w:rStyle w:val="FootnoteReference"/>
          <w:color w:val="000000" w:themeColor="text1"/>
          <w:szCs w:val="18"/>
        </w:rPr>
        <w:footnoteRef/>
      </w:r>
      <w:r w:rsidRPr="00B93597">
        <w:rPr>
          <w:color w:val="000000" w:themeColor="text1"/>
          <w:lang w:val="en-US"/>
        </w:rPr>
        <w:t xml:space="preserve"> </w:t>
      </w:r>
      <w:r w:rsidRPr="00B93597">
        <w:rPr>
          <w:color w:val="000000" w:themeColor="text1"/>
          <w:lang w:val="en-US"/>
        </w:rPr>
        <w:tab/>
      </w:r>
      <w:hyperlink r:id="rId13" w:history="1">
        <w:r w:rsidRPr="005B5139">
          <w:rPr>
            <w:rStyle w:val="Hyperlink"/>
            <w:rFonts w:asciiTheme="majorBidi" w:hAnsiTheme="majorBidi"/>
            <w:color w:val="000000" w:themeColor="text1"/>
            <w:szCs w:val="24"/>
            <w:lang w:val="en-US"/>
          </w:rPr>
          <w:t>http://www.ericsson.com/TET/trafficView/loadBasicEditor.ericsson</w:t>
        </w:r>
      </w:hyperlink>
      <w:r w:rsidRPr="005B5139">
        <w:rPr>
          <w:color w:val="000000" w:themeColor="text1"/>
          <w:sz w:val="24"/>
          <w:lang w:val="en-US"/>
        </w:rPr>
        <w:t>:</w:t>
      </w:r>
      <w:r w:rsidRPr="005B5139">
        <w:rPr>
          <w:sz w:val="24"/>
          <w:lang w:val="en-US"/>
        </w:rPr>
        <w:t xml:space="preserve"> data from EMR and Exploration tool in 2014</w:t>
      </w:r>
      <w:r w:rsidRPr="005B5139">
        <w:rPr>
          <w:rFonts w:cstheme="majorBidi"/>
          <w:sz w:val="24"/>
          <w:lang w:val="en-US"/>
        </w:rPr>
        <w:t>.</w:t>
      </w:r>
      <w:r w:rsidRPr="005B5139">
        <w:rPr>
          <w:color w:val="000000" w:themeColor="text1"/>
          <w:sz w:val="24"/>
          <w:lang w:val="en-US"/>
        </w:rPr>
        <w:t xml:space="preserve"> </w:t>
      </w:r>
      <w:r w:rsidRPr="003C0EEF">
        <w:rPr>
          <w:rStyle w:val="Hyperlink"/>
          <w:rFonts w:asciiTheme="majorBidi" w:hAnsiTheme="majorBidi"/>
          <w:color w:val="000000" w:themeColor="text1"/>
          <w:szCs w:val="24"/>
          <w:lang w:val="en-US"/>
        </w:rPr>
        <w:t xml:space="preserve"> </w:t>
      </w:r>
    </w:p>
  </w:footnote>
  <w:footnote w:id="29">
    <w:p w:rsidR="001B512B" w:rsidRPr="003C0EEF" w:rsidRDefault="001B512B" w:rsidP="003C214E">
      <w:pPr>
        <w:pStyle w:val="FootnoteText"/>
        <w:rPr>
          <w:rFonts w:asciiTheme="majorBidi" w:hAnsiTheme="majorBidi" w:cstheme="majorBidi"/>
          <w:szCs w:val="24"/>
        </w:rPr>
      </w:pPr>
      <w:r w:rsidRPr="00584E73">
        <w:rPr>
          <w:rStyle w:val="FootnoteReference"/>
          <w:szCs w:val="18"/>
        </w:rPr>
        <w:footnoteRef/>
      </w:r>
      <w:r w:rsidRPr="004946AB">
        <w:rPr>
          <w:szCs w:val="22"/>
          <w:lang w:val="fr-CH"/>
        </w:rPr>
        <w:tab/>
      </w:r>
      <w:hyperlink r:id="rId14" w:history="1">
        <w:r w:rsidRPr="003C0EEF">
          <w:rPr>
            <w:rStyle w:val="Hyperlink"/>
            <w:rFonts w:asciiTheme="majorBidi" w:hAnsiTheme="majorBidi" w:cstheme="majorBidi"/>
            <w:color w:val="000000"/>
            <w:szCs w:val="24"/>
          </w:rPr>
          <w:t>http://www.gsmamobileeconomy.com/GSMA_ME_Report_2014_R2_WEB.pdf</w:t>
        </w:r>
      </w:hyperlink>
      <w:r w:rsidRPr="003C0EEF">
        <w:rPr>
          <w:rFonts w:asciiTheme="majorBidi" w:hAnsiTheme="majorBidi" w:cstheme="majorBidi"/>
          <w:color w:val="000000"/>
          <w:szCs w:val="24"/>
        </w:rPr>
        <w:t>, page 18</w:t>
      </w:r>
      <w:r>
        <w:rPr>
          <w:rFonts w:asciiTheme="majorBidi" w:hAnsiTheme="majorBidi" w:cstheme="majorBidi"/>
          <w:color w:val="000000"/>
          <w:szCs w:val="24"/>
        </w:rPr>
        <w:t>.</w:t>
      </w:r>
    </w:p>
  </w:footnote>
  <w:footnote w:id="30">
    <w:p w:rsidR="001B512B" w:rsidRPr="00A930F7" w:rsidRDefault="001B512B" w:rsidP="003C214E">
      <w:pPr>
        <w:pStyle w:val="FootnoteText"/>
        <w:rPr>
          <w:color w:val="000000"/>
          <w:szCs w:val="22"/>
        </w:rPr>
      </w:pPr>
      <w:r w:rsidRPr="00584E73">
        <w:rPr>
          <w:rStyle w:val="FootnoteReference"/>
          <w:rFonts w:eastAsia="Calibri"/>
          <w:color w:val="000000" w:themeColor="text1"/>
          <w:szCs w:val="18"/>
          <w:lang w:eastAsia="zh-CN"/>
        </w:rPr>
        <w:footnoteRef/>
      </w:r>
      <w:r w:rsidRPr="00B93597">
        <w:rPr>
          <w:rStyle w:val="FootnoteReference"/>
          <w:rFonts w:eastAsia="Calibri"/>
          <w:color w:val="000000" w:themeColor="text1"/>
          <w:sz w:val="22"/>
          <w:szCs w:val="22"/>
          <w:lang w:eastAsia="zh-CN"/>
        </w:rPr>
        <w:tab/>
      </w:r>
      <w:r>
        <w:fldChar w:fldCharType="begin"/>
      </w:r>
      <w:r>
        <w:instrText xml:space="preserve"> HYPERLINK "</w:instrText>
      </w:r>
      <w:r w:rsidRPr="005D2DA7">
        <w:instrText>http://www.soumu.go.jp/johotsusintokei/field/data/gt010602.pptx</w:instrText>
      </w:r>
      <w:r>
        <w:instrText xml:space="preserve">" </w:instrText>
      </w:r>
      <w:r>
        <w:fldChar w:fldCharType="separate"/>
      </w:r>
      <w:r w:rsidRPr="00A77814">
        <w:rPr>
          <w:rStyle w:val="Hyperlink"/>
          <w:rPrChange w:id="46" w:author="Buonomo, Sergio" w:date="2015-06-18T23:06:00Z">
            <w:rPr/>
          </w:rPrChange>
        </w:rPr>
        <w:t>http://www.soumu.go.jp/johotsusintokei/field/data/gt010602.pptx</w:t>
      </w:r>
      <w:r>
        <w:fldChar w:fldCharType="end"/>
      </w:r>
      <w:r>
        <w:t xml:space="preserve"> .</w:t>
      </w:r>
    </w:p>
  </w:footnote>
  <w:footnote w:id="31">
    <w:p w:rsidR="001B512B" w:rsidRPr="003C0EEF" w:rsidRDefault="001B512B" w:rsidP="003C214E">
      <w:pPr>
        <w:pStyle w:val="FootnoteText"/>
        <w:rPr>
          <w:lang w:val="en-US"/>
        </w:rPr>
      </w:pPr>
      <w:r w:rsidRPr="00584E73">
        <w:rPr>
          <w:rStyle w:val="FootnoteReference"/>
          <w:szCs w:val="18"/>
        </w:rPr>
        <w:footnoteRef/>
      </w:r>
      <w:r>
        <w:rPr>
          <w:szCs w:val="22"/>
          <w:lang w:val="en-US"/>
        </w:rPr>
        <w:tab/>
      </w:r>
      <w:hyperlink r:id="rId15" w:history="1">
        <w:r w:rsidRPr="003C0EEF">
          <w:rPr>
            <w:rStyle w:val="Hyperlink"/>
            <w:rFonts w:asciiTheme="majorBidi" w:hAnsiTheme="majorBidi" w:cstheme="majorBidi"/>
            <w:szCs w:val="24"/>
            <w:lang w:val="en-US"/>
          </w:rPr>
          <w:t>http://www.gsma.com/connectedliving/wp-content/uploads/2013/03/Presentation-5-Madame-Hunag-China-Mobile.pdf</w:t>
        </w:r>
      </w:hyperlink>
      <w:r w:rsidRPr="003C0EEF">
        <w:rPr>
          <w:color w:val="000000"/>
          <w:lang w:val="en-US"/>
        </w:rPr>
        <w:t xml:space="preserve"> slide 3 for Mobile Broadband Era.</w:t>
      </w:r>
    </w:p>
  </w:footnote>
  <w:footnote w:id="32">
    <w:p w:rsidR="001B512B" w:rsidRPr="003C0EEF" w:rsidRDefault="001B512B" w:rsidP="003C214E">
      <w:pPr>
        <w:pStyle w:val="FootnoteText"/>
        <w:rPr>
          <w:sz w:val="28"/>
          <w:szCs w:val="22"/>
          <w:lang w:val="en-US"/>
        </w:rPr>
      </w:pPr>
      <w:r w:rsidRPr="00584E73">
        <w:rPr>
          <w:rStyle w:val="FootnoteReference"/>
          <w:szCs w:val="18"/>
        </w:rPr>
        <w:footnoteRef/>
      </w:r>
      <w:r>
        <w:rPr>
          <w:sz w:val="18"/>
          <w:szCs w:val="18"/>
          <w:lang w:val="en-US"/>
        </w:rPr>
        <w:tab/>
      </w:r>
      <w:r w:rsidRPr="003C0EEF">
        <w:rPr>
          <w:lang w:val="en-US"/>
        </w:rPr>
        <w:t>Source: TeliaSonera AB, 2014.</w:t>
      </w:r>
    </w:p>
  </w:footnote>
  <w:footnote w:id="33">
    <w:p w:rsidR="001B512B" w:rsidRPr="00B93597" w:rsidRDefault="001B512B" w:rsidP="003C214E">
      <w:pPr>
        <w:pStyle w:val="FootnoteText"/>
        <w:rPr>
          <w:szCs w:val="22"/>
          <w:lang w:val="en-US"/>
        </w:rPr>
      </w:pPr>
      <w:r w:rsidRPr="00584E73">
        <w:rPr>
          <w:rStyle w:val="FootnoteReference"/>
          <w:szCs w:val="18"/>
        </w:rPr>
        <w:footnoteRef/>
      </w:r>
      <w:r>
        <w:rPr>
          <w:lang w:val="en-US"/>
        </w:rPr>
        <w:tab/>
      </w:r>
      <w:r w:rsidRPr="003C0EEF">
        <w:rPr>
          <w:lang w:val="en-US"/>
        </w:rPr>
        <w:t xml:space="preserve">Source: Alcatel-Lucent, 2014. </w:t>
      </w:r>
    </w:p>
  </w:footnote>
  <w:footnote w:id="34">
    <w:p w:rsidR="001B512B" w:rsidRPr="005D2DA7" w:rsidRDefault="001B512B" w:rsidP="003C214E">
      <w:pPr>
        <w:pStyle w:val="FootnoteText"/>
        <w:rPr>
          <w:lang w:val="en-US"/>
        </w:rPr>
      </w:pPr>
      <w:r w:rsidRPr="00584E73">
        <w:rPr>
          <w:rStyle w:val="FootnoteReference"/>
          <w:szCs w:val="18"/>
        </w:rPr>
        <w:footnoteRef/>
      </w:r>
      <w:r>
        <w:rPr>
          <w:i/>
          <w:lang w:val="en-US"/>
        </w:rPr>
        <w:tab/>
      </w:r>
      <w:r w:rsidRPr="005D2DA7">
        <w:rPr>
          <w:i/>
          <w:lang w:val="en-US"/>
        </w:rPr>
        <w:t xml:space="preserve">Simple </w:t>
      </w:r>
      <w:r w:rsidRPr="005D2DA7">
        <w:rPr>
          <w:lang w:val="en-US"/>
        </w:rPr>
        <w:t>profile is a basic voice-only device and it includes all users with pre-paid subscriptions, devices referred to as non-smartphone with limited user interfaces, higher end devices used without data subscriptions and M2M devices.</w:t>
      </w:r>
    </w:p>
    <w:p w:rsidR="001B512B" w:rsidRPr="005D2DA7" w:rsidRDefault="001B512B" w:rsidP="003C214E">
      <w:pPr>
        <w:pStyle w:val="FootnoteText"/>
        <w:rPr>
          <w:lang w:val="en-US"/>
        </w:rPr>
      </w:pPr>
      <w:r>
        <w:rPr>
          <w:i/>
          <w:lang w:val="en-US"/>
        </w:rPr>
        <w:tab/>
      </w:r>
      <w:r w:rsidRPr="005D2DA7">
        <w:rPr>
          <w:i/>
          <w:lang w:val="en-US"/>
        </w:rPr>
        <w:t>Smart</w:t>
      </w:r>
      <w:r w:rsidRPr="005D2DA7">
        <w:rPr>
          <w:lang w:val="en-US"/>
        </w:rPr>
        <w:t xml:space="preserve"> profile is a generic high-end smart phone with a user interface that encourages data usage.</w:t>
      </w:r>
    </w:p>
    <w:p w:rsidR="001B512B" w:rsidRPr="005D2DA7" w:rsidRDefault="001B512B" w:rsidP="003C214E">
      <w:pPr>
        <w:pStyle w:val="FootnoteText"/>
        <w:rPr>
          <w:lang w:val="en-US"/>
        </w:rPr>
      </w:pPr>
      <w:r>
        <w:rPr>
          <w:i/>
          <w:lang w:val="en-US"/>
        </w:rPr>
        <w:tab/>
      </w:r>
      <w:r w:rsidRPr="005D2DA7">
        <w:rPr>
          <w:i/>
          <w:lang w:val="en-US"/>
        </w:rPr>
        <w:t>Large</w:t>
      </w:r>
      <w:r w:rsidRPr="005D2DA7">
        <w:rPr>
          <w:lang w:val="en-US"/>
        </w:rPr>
        <w:t xml:space="preserve"> profile covers a wide range of high end devices presenting more traffic per device than smart phones.  Examples include handheld devices with a high definition screens, PCs with either built-in cellular data or external USB keys and “Wi-Fi” devices offering local WLAN service with a cellular backhaul.</w:t>
      </w:r>
    </w:p>
  </w:footnote>
  <w:footnote w:id="35">
    <w:p w:rsidR="001B512B" w:rsidRPr="002945B7" w:rsidRDefault="001B512B" w:rsidP="00732125">
      <w:pPr>
        <w:pStyle w:val="FootnoteText"/>
        <w:rPr>
          <w:lang w:val="en-US"/>
        </w:rPr>
      </w:pPr>
      <w:r w:rsidRPr="00584E73">
        <w:rPr>
          <w:rStyle w:val="FootnoteReference"/>
          <w:szCs w:val="18"/>
        </w:rPr>
        <w:footnoteRef/>
      </w:r>
      <w:r w:rsidRPr="005D2DA7">
        <w:rPr>
          <w:sz w:val="18"/>
          <w:szCs w:val="18"/>
          <w:lang w:val="en-US" w:eastAsia="zh-CN"/>
        </w:rPr>
        <w:tab/>
      </w:r>
      <w:r w:rsidRPr="005D2DA7">
        <w:rPr>
          <w:lang w:val="en-US"/>
        </w:rPr>
        <w:t>China Statistical Yearbook (2005-2013).</w:t>
      </w:r>
    </w:p>
  </w:footnote>
  <w:footnote w:id="36">
    <w:p w:rsidR="001B512B" w:rsidRPr="005D2DA7" w:rsidRDefault="001B512B" w:rsidP="00732125">
      <w:pPr>
        <w:pStyle w:val="FootnoteText"/>
        <w:rPr>
          <w:lang w:val="en-US"/>
        </w:rPr>
      </w:pPr>
      <w:r w:rsidRPr="00584E73">
        <w:rPr>
          <w:rStyle w:val="FootnoteReference"/>
          <w:szCs w:val="18"/>
        </w:rPr>
        <w:footnoteRef/>
      </w:r>
      <w:r w:rsidRPr="005D2DA7">
        <w:rPr>
          <w:szCs w:val="22"/>
          <w:lang w:val="en-US"/>
        </w:rPr>
        <w:tab/>
      </w:r>
      <w:r w:rsidRPr="005D2DA7">
        <w:rPr>
          <w:lang w:val="en-US"/>
        </w:rPr>
        <w:t xml:space="preserve">The Xidan commercial district is a major traditional commercial area in downtown </w:t>
      </w:r>
      <w:hyperlink r:id="rId16" w:tooltip="Beijing" w:history="1">
        <w:r w:rsidRPr="005D2DA7">
          <w:rPr>
            <w:lang w:val="en-US"/>
          </w:rPr>
          <w:t>Beijing</w:t>
        </w:r>
      </w:hyperlink>
      <w:r w:rsidRPr="005D2DA7">
        <w:rPr>
          <w:lang w:val="en-US"/>
        </w:rPr>
        <w:t>, </w:t>
      </w:r>
      <w:hyperlink r:id="rId17" w:tooltip="China" w:history="1">
        <w:r w:rsidRPr="005D2DA7">
          <w:rPr>
            <w:lang w:val="en-US"/>
          </w:rPr>
          <w:t>China</w:t>
        </w:r>
      </w:hyperlink>
      <w:r w:rsidRPr="005D2DA7">
        <w:rPr>
          <w:lang w:val="en-US"/>
        </w:rPr>
        <w:t>. A large number of merchants gather there, and the daily average volume of the customers is more than 200 000. According to the data collected by Chinese operators, the average density of mobile users in this area could be up to 25 000 users/km</w:t>
      </w:r>
      <w:r w:rsidRPr="005D2DA7">
        <w:rPr>
          <w:vertAlign w:val="superscript"/>
          <w:lang w:val="en-US"/>
        </w:rPr>
        <w:t>2</w:t>
      </w:r>
      <w:r w:rsidRPr="005D2DA7">
        <w:rPr>
          <w:lang w:val="en-US"/>
        </w:rPr>
        <w:t xml:space="preserve"> in busy hour.</w:t>
      </w:r>
    </w:p>
  </w:footnote>
  <w:footnote w:id="37">
    <w:p w:rsidR="001B512B" w:rsidRPr="005D2DA7" w:rsidRDefault="001B512B" w:rsidP="00732125">
      <w:pPr>
        <w:pStyle w:val="FootnoteText"/>
        <w:rPr>
          <w:szCs w:val="22"/>
          <w:lang w:val="en-US" w:eastAsia="ko-KR"/>
        </w:rPr>
      </w:pPr>
      <w:r w:rsidRPr="00584E73">
        <w:rPr>
          <w:rStyle w:val="FootnoteReference"/>
          <w:szCs w:val="18"/>
        </w:rPr>
        <w:footnoteRef/>
      </w:r>
      <w:r w:rsidRPr="005D2DA7">
        <w:rPr>
          <w:lang w:val="en-US"/>
        </w:rPr>
        <w:t xml:space="preserve"> </w:t>
      </w:r>
      <w:r w:rsidRPr="005D2DA7">
        <w:rPr>
          <w:szCs w:val="22"/>
          <w:lang w:val="en-US"/>
        </w:rPr>
        <w:tab/>
      </w:r>
      <w:r w:rsidRPr="005D2DA7">
        <w:rPr>
          <w:lang w:val="en-US"/>
        </w:rPr>
        <w:t xml:space="preserve">Ministry of Science, ICT and Future Planning, </w:t>
      </w:r>
      <w:r w:rsidRPr="005D2DA7">
        <w:rPr>
          <w:i/>
          <w:lang w:val="en-US"/>
        </w:rPr>
        <w:t>Monthly mobile data traffic statistics (Oct. 2014)</w:t>
      </w:r>
      <w:r w:rsidRPr="005D2DA7">
        <w:rPr>
          <w:lang w:val="en-US"/>
        </w:rPr>
        <w:t xml:space="preserve">, available in Korean at </w:t>
      </w:r>
      <w:hyperlink r:id="rId18" w:history="1">
        <w:r w:rsidRPr="00196C1E">
          <w:rPr>
            <w:rStyle w:val="Hyperlink"/>
            <w:lang w:val="en-US"/>
          </w:rPr>
          <w:t>http://www.msip.go.kr/web/msipContents/contents.do?mId=MTQ2</w:t>
        </w:r>
      </w:hyperlink>
      <w:r>
        <w:rPr>
          <w:lang w:val="en-US"/>
        </w:rPr>
        <w:t xml:space="preserve"> .</w:t>
      </w:r>
    </w:p>
  </w:footnote>
  <w:footnote w:id="38">
    <w:p w:rsidR="001B512B" w:rsidRPr="005D2DA7" w:rsidRDefault="001B512B" w:rsidP="00F3413F">
      <w:pPr>
        <w:pStyle w:val="FootnoteText"/>
        <w:rPr>
          <w:lang w:val="en-US"/>
        </w:rPr>
      </w:pPr>
      <w:r w:rsidRPr="00584E73">
        <w:rPr>
          <w:rStyle w:val="FootnoteReference"/>
          <w:szCs w:val="18"/>
        </w:rPr>
        <w:footnoteRef/>
      </w:r>
      <w:r w:rsidRPr="005D2DA7">
        <w:rPr>
          <w:szCs w:val="22"/>
          <w:lang w:val="en-US"/>
        </w:rPr>
        <w:tab/>
      </w:r>
      <w:r w:rsidRPr="005D2DA7">
        <w:rPr>
          <w:lang w:val="en-US"/>
        </w:rPr>
        <w:t>UMTS Forum Report: Mobile Traffic Forecast: 2010-2020, Report 44, January 2011.</w:t>
      </w:r>
    </w:p>
  </w:footnote>
  <w:footnote w:id="39">
    <w:p w:rsidR="001B512B" w:rsidRPr="00E90700" w:rsidRDefault="001B512B" w:rsidP="0055135E">
      <w:pPr>
        <w:pStyle w:val="FootnoteText"/>
        <w:rPr>
          <w:szCs w:val="24"/>
          <w:lang w:val="en-US"/>
        </w:rPr>
      </w:pPr>
      <w:r w:rsidRPr="00584E73">
        <w:rPr>
          <w:rStyle w:val="FootnoteReference"/>
          <w:szCs w:val="18"/>
        </w:rPr>
        <w:footnoteRef/>
      </w:r>
      <w:r w:rsidRPr="005D2DA7">
        <w:rPr>
          <w:lang w:val="en-US"/>
        </w:rPr>
        <w:tab/>
        <w:t>Salesforce marketing cloud, 2014 mobile behaviour report.</w:t>
      </w:r>
    </w:p>
  </w:footnote>
  <w:footnote w:id="40">
    <w:p w:rsidR="001B512B" w:rsidRPr="005D2DA7" w:rsidRDefault="001B512B" w:rsidP="0055135E">
      <w:pPr>
        <w:pStyle w:val="FootnoteText"/>
        <w:rPr>
          <w:sz w:val="28"/>
          <w:szCs w:val="22"/>
          <w:lang w:val="en-US"/>
        </w:rPr>
      </w:pPr>
      <w:r w:rsidRPr="00584E73">
        <w:rPr>
          <w:rStyle w:val="FootnoteReference"/>
          <w:szCs w:val="18"/>
        </w:rPr>
        <w:footnoteRef/>
      </w:r>
      <w:r w:rsidRPr="005D2DA7">
        <w:rPr>
          <w:sz w:val="18"/>
          <w:szCs w:val="18"/>
          <w:lang w:val="en-US"/>
        </w:rPr>
        <w:t xml:space="preserve"> </w:t>
      </w:r>
      <w:r w:rsidRPr="005D2DA7">
        <w:rPr>
          <w:szCs w:val="22"/>
          <w:lang w:val="en-US"/>
        </w:rPr>
        <w:tab/>
      </w:r>
      <w:r w:rsidRPr="005D2DA7">
        <w:rPr>
          <w:lang w:val="en-US"/>
        </w:rPr>
        <w:t>Source: Bell-Labs, Alcatel-Lucent, 2015.</w:t>
      </w:r>
    </w:p>
  </w:footnote>
  <w:footnote w:id="41">
    <w:p w:rsidR="001B512B" w:rsidRPr="00972E9D" w:rsidRDefault="001B512B" w:rsidP="00D127A5">
      <w:pPr>
        <w:pStyle w:val="FootnoteText"/>
        <w:rPr>
          <w:lang w:val="en-US"/>
        </w:rPr>
      </w:pPr>
      <w:r w:rsidRPr="00857459">
        <w:rPr>
          <w:rStyle w:val="FootnoteReference"/>
          <w:szCs w:val="18"/>
        </w:rPr>
        <w:footnoteRef/>
      </w:r>
      <w:r w:rsidRPr="005D2DA7">
        <w:rPr>
          <w:sz w:val="18"/>
          <w:szCs w:val="18"/>
          <w:lang w:val="en-US"/>
        </w:rPr>
        <w:t xml:space="preserve"> </w:t>
      </w:r>
      <w:r w:rsidRPr="005D2DA7">
        <w:rPr>
          <w:lang w:val="en-US"/>
        </w:rPr>
        <w:tab/>
        <w:t>Global Internet phenomena report, Sandvine, March, 2014.</w:t>
      </w:r>
    </w:p>
  </w:footnote>
  <w:footnote w:id="42">
    <w:p w:rsidR="001B512B" w:rsidRPr="00E90700" w:rsidRDefault="001B512B" w:rsidP="00D127A5">
      <w:pPr>
        <w:pStyle w:val="FootnoteText"/>
        <w:rPr>
          <w:lang w:val="en-US"/>
        </w:rPr>
      </w:pPr>
      <w:r w:rsidRPr="00857459">
        <w:rPr>
          <w:rStyle w:val="FootnoteReference"/>
          <w:szCs w:val="18"/>
        </w:rPr>
        <w:footnoteRef/>
      </w:r>
      <w:r w:rsidRPr="005D2DA7">
        <w:rPr>
          <w:szCs w:val="22"/>
          <w:lang w:val="en-US"/>
        </w:rPr>
        <w:tab/>
      </w:r>
      <w:r w:rsidRPr="005D2DA7">
        <w:rPr>
          <w:lang w:val="en-US" w:eastAsia="zh-CN"/>
        </w:rPr>
        <w:t>Huawei Technologies Co Ltd., MBB insight, 2013.</w:t>
      </w:r>
    </w:p>
  </w:footnote>
  <w:footnote w:id="43">
    <w:p w:rsidR="001B512B" w:rsidRPr="005D2DA7" w:rsidRDefault="001B512B" w:rsidP="00D127A5">
      <w:pPr>
        <w:pStyle w:val="FootnoteText"/>
        <w:rPr>
          <w:lang w:val="en-US"/>
        </w:rPr>
      </w:pPr>
      <w:r w:rsidRPr="00857459">
        <w:rPr>
          <w:rStyle w:val="FootnoteReference"/>
          <w:szCs w:val="18"/>
        </w:rPr>
        <w:footnoteRef/>
      </w:r>
      <w:r w:rsidRPr="005D2DA7">
        <w:rPr>
          <w:szCs w:val="22"/>
          <w:lang w:val="en-US"/>
        </w:rPr>
        <w:t xml:space="preserve"> </w:t>
      </w:r>
      <w:r w:rsidRPr="005D2DA7">
        <w:rPr>
          <w:szCs w:val="22"/>
          <w:lang w:val="en-US"/>
        </w:rPr>
        <w:tab/>
      </w:r>
      <w:r w:rsidRPr="005D2DA7">
        <w:rPr>
          <w:lang w:val="en-US"/>
        </w:rPr>
        <w:t>Analysis provided by the United Kingdom.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3547D8" w:rsidRPr="003547D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Default="001B512B" w:rsidP="00D513B3">
    <w:pPr>
      <w:ind w:right="360" w:firstLine="360"/>
    </w:pPr>
    <w:r>
      <w:rPr>
        <w:noProof/>
        <w:lang w:val="en-US" w:eastAsia="zh-CN"/>
      </w:rPr>
      <w:drawing>
        <wp:anchor distT="0" distB="0" distL="114300" distR="114300" simplePos="0" relativeHeight="251660288" behindDoc="0" locked="0" layoutInCell="1" allowOverlap="1" wp14:anchorId="76618FF2" wp14:editId="17DC3D1D">
          <wp:simplePos x="0" y="0"/>
          <wp:positionH relativeFrom="margin">
            <wp:posOffset>0</wp:posOffset>
          </wp:positionH>
          <wp:positionV relativeFrom="margin">
            <wp:posOffset>8754745</wp:posOffset>
          </wp:positionV>
          <wp:extent cx="1247775" cy="935831"/>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721414C" wp14:editId="51D2F08D">
          <wp:simplePos x="0" y="0"/>
          <wp:positionH relativeFrom="page">
            <wp:posOffset>0</wp:posOffset>
          </wp:positionH>
          <wp:positionV relativeFrom="page">
            <wp:posOffset>0</wp:posOffset>
          </wp:positionV>
          <wp:extent cx="7592060" cy="10753725"/>
          <wp:effectExtent l="19050" t="0" r="8890" b="0"/>
          <wp:wrapNone/>
          <wp:docPr id="27" name="Picture 27"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3547D8">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3547D8" w:rsidRPr="003547D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jc w:val="both"/>
      <w:rPr>
        <w:b/>
        <w:bCs/>
        <w:noProof/>
        <w:lang w:val="en-US"/>
      </w:rPr>
    </w:pPr>
    <w:r w:rsidRPr="005B1A27">
      <w:rPr>
        <w:b/>
        <w:bCs/>
        <w:noProof/>
        <w:lang w:val="en-US"/>
      </w:rPr>
      <w:fldChar w:fldCharType="begin"/>
    </w:r>
    <w:r w:rsidRPr="005B1A27">
      <w:rPr>
        <w:b/>
        <w:bCs/>
        <w:noProof/>
        <w:lang w:val="en-US"/>
      </w:rPr>
      <w:instrText xml:space="preserve"> PAGE </w:instrText>
    </w:r>
    <w:r w:rsidRPr="005B1A27">
      <w:rPr>
        <w:b/>
        <w:bCs/>
        <w:noProof/>
        <w:lang w:val="en-US"/>
      </w:rPr>
      <w:fldChar w:fldCharType="separate"/>
    </w:r>
    <w:r w:rsidR="003547D8">
      <w:rPr>
        <w:b/>
        <w:bCs/>
        <w:noProof/>
        <w:lang w:val="en-US"/>
      </w:rPr>
      <w:t>48</w:t>
    </w:r>
    <w:r w:rsidRPr="005B1A27">
      <w:rPr>
        <w:b/>
        <w:bCs/>
        <w:noProof/>
        <w:lang w:val="en-US"/>
      </w:rPr>
      <w:fldChar w:fldCharType="end"/>
    </w:r>
    <w:r w:rsidRPr="002B3D4F">
      <w:rPr>
        <w:b/>
        <w:bCs/>
        <w:noProof/>
        <w:lang w:val="en-US"/>
      </w:rPr>
      <w:tab/>
    </w:r>
    <w:r>
      <w:fldChar w:fldCharType="begin"/>
    </w:r>
    <w:r w:rsidRPr="004E46B8">
      <w:rPr>
        <w:lang w:val="en-US"/>
      </w:rPr>
      <w:instrText xml:space="preserve"> DOCPROPERTY "Header 2" \* MERGEFORMAT </w:instrText>
    </w:r>
    <w:r>
      <w:fldChar w:fldCharType="separate"/>
    </w:r>
    <w:r w:rsidR="003547D8" w:rsidRPr="003547D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pPr>
    <w:r w:rsidRPr="00C00883">
      <w:rPr>
        <w:lang w:val="en-US"/>
      </w:rPr>
      <w:tab/>
    </w:r>
    <w:fldSimple w:instr=" DOCPROPERTY &quot;Header 2&quot; \* MERGEFORMAT ">
      <w:r w:rsidR="003547D8" w:rsidRPr="003547D8">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3547D8">
      <w:rPr>
        <w:b/>
        <w:bCs/>
        <w:noProof/>
        <w:lang w:val="en-US"/>
      </w:rPr>
      <w:t>49</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3012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A41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505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AE2F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14B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AE7C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56E6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5E7A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125A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FCD3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1F63"/>
    <w:multiLevelType w:val="hybridMultilevel"/>
    <w:tmpl w:val="994438BC"/>
    <w:lvl w:ilvl="0" w:tplc="A9C68F86">
      <w:start w:val="3"/>
      <w:numFmt w:val="bullet"/>
      <w:lvlText w:val="-"/>
      <w:lvlJc w:val="left"/>
      <w:pPr>
        <w:ind w:left="720" w:hanging="360"/>
      </w:pPr>
      <w:rPr>
        <w:rFonts w:ascii="Times New Roman" w:eastAsia="Times New Roman" w:hAnsi="Times New Roman" w:cs="Times New Roman"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0935302"/>
    <w:multiLevelType w:val="hybridMultilevel"/>
    <w:tmpl w:val="D6B67F8E"/>
    <w:lvl w:ilvl="0" w:tplc="8CE4769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7306E2F"/>
    <w:multiLevelType w:val="hybridMultilevel"/>
    <w:tmpl w:val="93188A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9972094"/>
    <w:multiLevelType w:val="hybridMultilevel"/>
    <w:tmpl w:val="59FCA960"/>
    <w:lvl w:ilvl="0" w:tplc="E800D87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3BA43E8B"/>
    <w:multiLevelType w:val="hybridMultilevel"/>
    <w:tmpl w:val="83EA5002"/>
    <w:lvl w:ilvl="0" w:tplc="C5303EEE">
      <w:start w:val="7"/>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775ED6"/>
    <w:multiLevelType w:val="hybridMultilevel"/>
    <w:tmpl w:val="2416CB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E3F3F23"/>
    <w:multiLevelType w:val="hybridMultilevel"/>
    <w:tmpl w:val="D6285B08"/>
    <w:lvl w:ilvl="0" w:tplc="5DAC2C8A">
      <w:start w:val="1"/>
      <w:numFmt w:val="bullet"/>
      <w:lvlText w:val="‐"/>
      <w:lvlJc w:val="left"/>
      <w:pPr>
        <w:ind w:left="1140" w:hanging="420"/>
      </w:pPr>
      <w:rPr>
        <w:rFonts w:ascii="SimSun" w:eastAsia="SimSun" w:hAnsi="SimSu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1"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22"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3"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6"/>
  </w:num>
  <w:num w:numId="3">
    <w:abstractNumId w:val="13"/>
  </w:num>
  <w:num w:numId="4">
    <w:abstractNumId w:val="22"/>
  </w:num>
  <w:num w:numId="5">
    <w:abstractNumId w:val="18"/>
  </w:num>
  <w:num w:numId="6">
    <w:abstractNumId w:val="11"/>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20"/>
  </w:num>
  <w:num w:numId="11">
    <w:abstractNumId w:val="12"/>
  </w:num>
  <w:num w:numId="12">
    <w:abstractNumId w:val="19"/>
  </w:num>
  <w:num w:numId="13">
    <w:abstractNumId w:val="14"/>
  </w:num>
  <w:num w:numId="14">
    <w:abstractNumId w:val="17"/>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onomo, Sergio">
    <w15:presenceInfo w15:providerId="AD" w15:userId="S-1-5-21-8740799-900759487-1415713722-4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DA7"/>
    <w:rsid w:val="000047DE"/>
    <w:rsid w:val="00005718"/>
    <w:rsid w:val="00007F6F"/>
    <w:rsid w:val="00015022"/>
    <w:rsid w:val="000448C4"/>
    <w:rsid w:val="00046777"/>
    <w:rsid w:val="00051755"/>
    <w:rsid w:val="00066231"/>
    <w:rsid w:val="00066DC8"/>
    <w:rsid w:val="00070D18"/>
    <w:rsid w:val="00071EB3"/>
    <w:rsid w:val="00082FB2"/>
    <w:rsid w:val="00090153"/>
    <w:rsid w:val="00093B8D"/>
    <w:rsid w:val="000A0D13"/>
    <w:rsid w:val="000C45CC"/>
    <w:rsid w:val="000F031F"/>
    <w:rsid w:val="000F48ED"/>
    <w:rsid w:val="000F57F0"/>
    <w:rsid w:val="0010667F"/>
    <w:rsid w:val="001111E9"/>
    <w:rsid w:val="00115C61"/>
    <w:rsid w:val="001237B9"/>
    <w:rsid w:val="00135F65"/>
    <w:rsid w:val="00136E20"/>
    <w:rsid w:val="00166329"/>
    <w:rsid w:val="00193690"/>
    <w:rsid w:val="00194816"/>
    <w:rsid w:val="001A2DF0"/>
    <w:rsid w:val="001B512B"/>
    <w:rsid w:val="001D663A"/>
    <w:rsid w:val="001E3273"/>
    <w:rsid w:val="00207607"/>
    <w:rsid w:val="00217EBF"/>
    <w:rsid w:val="00220582"/>
    <w:rsid w:val="00220767"/>
    <w:rsid w:val="002219E2"/>
    <w:rsid w:val="00242AEE"/>
    <w:rsid w:val="002561B9"/>
    <w:rsid w:val="00256DDC"/>
    <w:rsid w:val="00267FDF"/>
    <w:rsid w:val="0028280F"/>
    <w:rsid w:val="0029004C"/>
    <w:rsid w:val="002A1854"/>
    <w:rsid w:val="002B3D4F"/>
    <w:rsid w:val="002B4087"/>
    <w:rsid w:val="002B4B73"/>
    <w:rsid w:val="002D5F4A"/>
    <w:rsid w:val="002D76C4"/>
    <w:rsid w:val="002E6EE7"/>
    <w:rsid w:val="002F0D42"/>
    <w:rsid w:val="00303F04"/>
    <w:rsid w:val="00313623"/>
    <w:rsid w:val="003173A1"/>
    <w:rsid w:val="00324522"/>
    <w:rsid w:val="003547D8"/>
    <w:rsid w:val="003646A0"/>
    <w:rsid w:val="00365664"/>
    <w:rsid w:val="00380233"/>
    <w:rsid w:val="003818F8"/>
    <w:rsid w:val="00383661"/>
    <w:rsid w:val="0038398E"/>
    <w:rsid w:val="003903BC"/>
    <w:rsid w:val="003B3B09"/>
    <w:rsid w:val="003C214E"/>
    <w:rsid w:val="003F1363"/>
    <w:rsid w:val="00402590"/>
    <w:rsid w:val="00403C34"/>
    <w:rsid w:val="00424083"/>
    <w:rsid w:val="00437FDF"/>
    <w:rsid w:val="00440A71"/>
    <w:rsid w:val="0044489B"/>
    <w:rsid w:val="0045456B"/>
    <w:rsid w:val="00457E1A"/>
    <w:rsid w:val="00467C49"/>
    <w:rsid w:val="004B56F3"/>
    <w:rsid w:val="004B6A14"/>
    <w:rsid w:val="004D731A"/>
    <w:rsid w:val="004E063E"/>
    <w:rsid w:val="005035DF"/>
    <w:rsid w:val="00510269"/>
    <w:rsid w:val="00516947"/>
    <w:rsid w:val="0052529D"/>
    <w:rsid w:val="00531D0A"/>
    <w:rsid w:val="005350CF"/>
    <w:rsid w:val="0055135E"/>
    <w:rsid w:val="00561139"/>
    <w:rsid w:val="00567C49"/>
    <w:rsid w:val="00575CF6"/>
    <w:rsid w:val="00580986"/>
    <w:rsid w:val="00592B26"/>
    <w:rsid w:val="005B1A27"/>
    <w:rsid w:val="005B5139"/>
    <w:rsid w:val="005D2DA7"/>
    <w:rsid w:val="005E18C0"/>
    <w:rsid w:val="005E6C75"/>
    <w:rsid w:val="00606D45"/>
    <w:rsid w:val="00607D68"/>
    <w:rsid w:val="00621B19"/>
    <w:rsid w:val="00622791"/>
    <w:rsid w:val="0062568F"/>
    <w:rsid w:val="00650404"/>
    <w:rsid w:val="00650D9B"/>
    <w:rsid w:val="006529DF"/>
    <w:rsid w:val="00690C28"/>
    <w:rsid w:val="0069620B"/>
    <w:rsid w:val="00697321"/>
    <w:rsid w:val="006A70AF"/>
    <w:rsid w:val="006B452B"/>
    <w:rsid w:val="006B7388"/>
    <w:rsid w:val="006C78A1"/>
    <w:rsid w:val="006D0884"/>
    <w:rsid w:val="006F1816"/>
    <w:rsid w:val="006F59B5"/>
    <w:rsid w:val="00701E78"/>
    <w:rsid w:val="00713D81"/>
    <w:rsid w:val="00724411"/>
    <w:rsid w:val="0072565B"/>
    <w:rsid w:val="00732125"/>
    <w:rsid w:val="00737977"/>
    <w:rsid w:val="007468DA"/>
    <w:rsid w:val="00770E99"/>
    <w:rsid w:val="007908BE"/>
    <w:rsid w:val="007B7155"/>
    <w:rsid w:val="007D2ABA"/>
    <w:rsid w:val="008015FB"/>
    <w:rsid w:val="0080312B"/>
    <w:rsid w:val="0080570E"/>
    <w:rsid w:val="00815EC1"/>
    <w:rsid w:val="00820003"/>
    <w:rsid w:val="008218E2"/>
    <w:rsid w:val="00827963"/>
    <w:rsid w:val="008464CB"/>
    <w:rsid w:val="00873048"/>
    <w:rsid w:val="00895DD6"/>
    <w:rsid w:val="008A40E0"/>
    <w:rsid w:val="008A6CEE"/>
    <w:rsid w:val="008C0C5E"/>
    <w:rsid w:val="008E1DE1"/>
    <w:rsid w:val="008E4747"/>
    <w:rsid w:val="008F56ED"/>
    <w:rsid w:val="00917A59"/>
    <w:rsid w:val="00931E8F"/>
    <w:rsid w:val="009326C6"/>
    <w:rsid w:val="00934A49"/>
    <w:rsid w:val="009409D0"/>
    <w:rsid w:val="0098046A"/>
    <w:rsid w:val="00986F00"/>
    <w:rsid w:val="00990873"/>
    <w:rsid w:val="00992CB1"/>
    <w:rsid w:val="009A1C5D"/>
    <w:rsid w:val="009A7C12"/>
    <w:rsid w:val="009B49DC"/>
    <w:rsid w:val="009D72EA"/>
    <w:rsid w:val="009E00A8"/>
    <w:rsid w:val="00A4301B"/>
    <w:rsid w:val="00A537EE"/>
    <w:rsid w:val="00A63213"/>
    <w:rsid w:val="00A6617B"/>
    <w:rsid w:val="00A70A43"/>
    <w:rsid w:val="00AA4FB6"/>
    <w:rsid w:val="00AB0DC8"/>
    <w:rsid w:val="00AB3701"/>
    <w:rsid w:val="00AB55D5"/>
    <w:rsid w:val="00AF4361"/>
    <w:rsid w:val="00AF5796"/>
    <w:rsid w:val="00AF5FE4"/>
    <w:rsid w:val="00B124CA"/>
    <w:rsid w:val="00B13F01"/>
    <w:rsid w:val="00B36B83"/>
    <w:rsid w:val="00B44E24"/>
    <w:rsid w:val="00B52DEE"/>
    <w:rsid w:val="00B74F07"/>
    <w:rsid w:val="00B7647F"/>
    <w:rsid w:val="00BB768F"/>
    <w:rsid w:val="00BC4B4B"/>
    <w:rsid w:val="00BE3007"/>
    <w:rsid w:val="00C528FB"/>
    <w:rsid w:val="00C67FF6"/>
    <w:rsid w:val="00C74E2E"/>
    <w:rsid w:val="00C777FE"/>
    <w:rsid w:val="00C91285"/>
    <w:rsid w:val="00CE6198"/>
    <w:rsid w:val="00D01ED3"/>
    <w:rsid w:val="00D07E99"/>
    <w:rsid w:val="00D127A5"/>
    <w:rsid w:val="00D22B7D"/>
    <w:rsid w:val="00D27219"/>
    <w:rsid w:val="00D376CA"/>
    <w:rsid w:val="00D513B3"/>
    <w:rsid w:val="00D5599E"/>
    <w:rsid w:val="00DA4CB8"/>
    <w:rsid w:val="00DA65B8"/>
    <w:rsid w:val="00DC0717"/>
    <w:rsid w:val="00DD28C3"/>
    <w:rsid w:val="00DE5E1D"/>
    <w:rsid w:val="00DF4176"/>
    <w:rsid w:val="00E03534"/>
    <w:rsid w:val="00E046C7"/>
    <w:rsid w:val="00E06088"/>
    <w:rsid w:val="00E315B1"/>
    <w:rsid w:val="00E319E7"/>
    <w:rsid w:val="00E33BF3"/>
    <w:rsid w:val="00E736AC"/>
    <w:rsid w:val="00E74C6D"/>
    <w:rsid w:val="00E928DB"/>
    <w:rsid w:val="00EA2024"/>
    <w:rsid w:val="00EA73ED"/>
    <w:rsid w:val="00EB780E"/>
    <w:rsid w:val="00EC421B"/>
    <w:rsid w:val="00EE59D1"/>
    <w:rsid w:val="00F22193"/>
    <w:rsid w:val="00F27506"/>
    <w:rsid w:val="00F3413F"/>
    <w:rsid w:val="00F35217"/>
    <w:rsid w:val="00F36D8D"/>
    <w:rsid w:val="00F47358"/>
    <w:rsid w:val="00F608A2"/>
    <w:rsid w:val="00F62F90"/>
    <w:rsid w:val="00F706EC"/>
    <w:rsid w:val="00FC2EEF"/>
    <w:rsid w:val="00FD494A"/>
    <w:rsid w:val="00FE6075"/>
    <w:rsid w:val="00FF1466"/>
    <w:rsid w:val="00FF7D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56486289-E5C7-4EB2-8315-94BD213B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5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A7C12"/>
    <w:pPr>
      <w:keepNext/>
      <w:keepLines/>
      <w:spacing w:before="480"/>
      <w:ind w:left="794" w:hanging="794"/>
      <w:outlineLvl w:val="0"/>
    </w:pPr>
    <w:rPr>
      <w:b/>
    </w:rPr>
  </w:style>
  <w:style w:type="paragraph" w:styleId="Heading2">
    <w:name w:val="heading 2"/>
    <w:basedOn w:val="Heading1"/>
    <w:next w:val="Normal"/>
    <w:link w:val="Heading2Char"/>
    <w:qFormat/>
    <w:rsid w:val="009A7C12"/>
    <w:pPr>
      <w:spacing w:before="320"/>
      <w:outlineLvl w:val="1"/>
    </w:pPr>
  </w:style>
  <w:style w:type="paragraph" w:styleId="Heading3">
    <w:name w:val="heading 3"/>
    <w:basedOn w:val="Heading1"/>
    <w:next w:val="Normal"/>
    <w:link w:val="Heading3Char"/>
    <w:qFormat/>
    <w:rsid w:val="009A7C12"/>
    <w:pPr>
      <w:spacing w:before="200"/>
      <w:outlineLvl w:val="2"/>
    </w:pPr>
  </w:style>
  <w:style w:type="paragraph" w:styleId="Heading4">
    <w:name w:val="heading 4"/>
    <w:basedOn w:val="Heading3"/>
    <w:next w:val="Normal"/>
    <w:link w:val="Heading4Char"/>
    <w:qFormat/>
    <w:rsid w:val="009A7C12"/>
    <w:pPr>
      <w:tabs>
        <w:tab w:val="clear" w:pos="794"/>
        <w:tab w:val="left" w:pos="992"/>
      </w:tabs>
      <w:ind w:left="992" w:hanging="992"/>
      <w:outlineLvl w:val="3"/>
    </w:pPr>
  </w:style>
  <w:style w:type="paragraph" w:styleId="Heading5">
    <w:name w:val="heading 5"/>
    <w:basedOn w:val="Heading4"/>
    <w:next w:val="Normal"/>
    <w:link w:val="Heading5Char"/>
    <w:qFormat/>
    <w:rsid w:val="009A7C12"/>
    <w:pPr>
      <w:outlineLvl w:val="4"/>
    </w:pPr>
  </w:style>
  <w:style w:type="paragraph" w:styleId="Heading6">
    <w:name w:val="heading 6"/>
    <w:basedOn w:val="Heading4"/>
    <w:next w:val="Normal"/>
    <w:link w:val="Heading6Char"/>
    <w:qFormat/>
    <w:rsid w:val="009A7C12"/>
    <w:pPr>
      <w:tabs>
        <w:tab w:val="clear" w:pos="992"/>
        <w:tab w:val="clear" w:pos="1191"/>
      </w:tabs>
      <w:ind w:left="1588" w:hanging="1588"/>
      <w:outlineLvl w:val="5"/>
    </w:pPr>
  </w:style>
  <w:style w:type="paragraph" w:styleId="Heading7">
    <w:name w:val="heading 7"/>
    <w:basedOn w:val="Heading6"/>
    <w:next w:val="Normal"/>
    <w:link w:val="Heading7Char"/>
    <w:qFormat/>
    <w:rsid w:val="009A7C12"/>
    <w:pPr>
      <w:outlineLvl w:val="6"/>
    </w:pPr>
  </w:style>
  <w:style w:type="paragraph" w:styleId="Heading8">
    <w:name w:val="heading 8"/>
    <w:basedOn w:val="Heading6"/>
    <w:next w:val="Normal"/>
    <w:link w:val="Heading8Char"/>
    <w:qFormat/>
    <w:rsid w:val="009A7C12"/>
    <w:pPr>
      <w:outlineLvl w:val="7"/>
    </w:pPr>
  </w:style>
  <w:style w:type="paragraph" w:styleId="Heading9">
    <w:name w:val="heading 9"/>
    <w:basedOn w:val="Heading6"/>
    <w:next w:val="Normal"/>
    <w:link w:val="Heading9Char"/>
    <w:qFormat/>
    <w:rsid w:val="009A7C1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2DA7"/>
    <w:rPr>
      <w:b/>
      <w:sz w:val="24"/>
      <w:lang w:val="fr-FR" w:eastAsia="en-US"/>
    </w:rPr>
  </w:style>
  <w:style w:type="character" w:customStyle="1" w:styleId="Heading2Char">
    <w:name w:val="Heading 2 Char"/>
    <w:basedOn w:val="DefaultParagraphFont"/>
    <w:link w:val="Heading2"/>
    <w:rsid w:val="005D2DA7"/>
    <w:rPr>
      <w:b/>
      <w:sz w:val="24"/>
      <w:lang w:val="fr-FR" w:eastAsia="en-US"/>
    </w:rPr>
  </w:style>
  <w:style w:type="character" w:customStyle="1" w:styleId="Heading3Char">
    <w:name w:val="Heading 3 Char"/>
    <w:basedOn w:val="DefaultParagraphFont"/>
    <w:link w:val="Heading3"/>
    <w:rsid w:val="005D2DA7"/>
    <w:rPr>
      <w:b/>
      <w:sz w:val="24"/>
      <w:lang w:val="fr-FR" w:eastAsia="en-US"/>
    </w:rPr>
  </w:style>
  <w:style w:type="character" w:customStyle="1" w:styleId="Heading4Char">
    <w:name w:val="Heading 4 Char"/>
    <w:basedOn w:val="DefaultParagraphFont"/>
    <w:link w:val="Heading4"/>
    <w:rsid w:val="005D2DA7"/>
    <w:rPr>
      <w:b/>
      <w:sz w:val="24"/>
      <w:lang w:val="fr-FR" w:eastAsia="en-US"/>
    </w:rPr>
  </w:style>
  <w:style w:type="character" w:customStyle="1" w:styleId="Heading5Char">
    <w:name w:val="Heading 5 Char"/>
    <w:basedOn w:val="DefaultParagraphFont"/>
    <w:link w:val="Heading5"/>
    <w:rsid w:val="005D2DA7"/>
    <w:rPr>
      <w:b/>
      <w:sz w:val="24"/>
      <w:lang w:val="fr-FR" w:eastAsia="en-US"/>
    </w:rPr>
  </w:style>
  <w:style w:type="character" w:customStyle="1" w:styleId="Heading6Char">
    <w:name w:val="Heading 6 Char"/>
    <w:basedOn w:val="DefaultParagraphFont"/>
    <w:link w:val="Heading6"/>
    <w:rsid w:val="005D2DA7"/>
    <w:rPr>
      <w:b/>
      <w:sz w:val="24"/>
      <w:lang w:val="fr-FR" w:eastAsia="en-US"/>
    </w:rPr>
  </w:style>
  <w:style w:type="character" w:customStyle="1" w:styleId="Heading7Char">
    <w:name w:val="Heading 7 Char"/>
    <w:basedOn w:val="DefaultParagraphFont"/>
    <w:link w:val="Heading7"/>
    <w:rsid w:val="005D2DA7"/>
    <w:rPr>
      <w:b/>
      <w:sz w:val="24"/>
      <w:lang w:val="fr-FR" w:eastAsia="en-US"/>
    </w:rPr>
  </w:style>
  <w:style w:type="character" w:customStyle="1" w:styleId="Heading8Char">
    <w:name w:val="Heading 8 Char"/>
    <w:basedOn w:val="DefaultParagraphFont"/>
    <w:link w:val="Heading8"/>
    <w:rsid w:val="005D2DA7"/>
    <w:rPr>
      <w:b/>
      <w:sz w:val="24"/>
      <w:lang w:val="fr-FR" w:eastAsia="en-US"/>
    </w:rPr>
  </w:style>
  <w:style w:type="character" w:customStyle="1" w:styleId="Heading9Char">
    <w:name w:val="Heading 9 Char"/>
    <w:basedOn w:val="DefaultParagraphFont"/>
    <w:link w:val="Heading9"/>
    <w:rsid w:val="005D2DA7"/>
    <w:rPr>
      <w:b/>
      <w:sz w:val="24"/>
      <w:lang w:val="fr-FR" w:eastAsia="en-US"/>
    </w:rPr>
  </w:style>
  <w:style w:type="character" w:styleId="PageNumber">
    <w:name w:val="page number"/>
    <w:basedOn w:val="DefaultParagraphFont"/>
    <w:rsid w:val="009A7C12"/>
  </w:style>
  <w:style w:type="paragraph" w:customStyle="1" w:styleId="Headingb">
    <w:name w:val="Heading_b"/>
    <w:basedOn w:val="Heading3"/>
    <w:next w:val="Normal"/>
    <w:link w:val="HeadingbChar"/>
    <w:rsid w:val="009A7C12"/>
    <w:pPr>
      <w:spacing w:before="160"/>
      <w:ind w:left="0" w:firstLine="0"/>
      <w:outlineLvl w:val="9"/>
    </w:pPr>
  </w:style>
  <w:style w:type="character" w:customStyle="1" w:styleId="HeadingbChar">
    <w:name w:val="Heading_b Char"/>
    <w:basedOn w:val="DefaultParagraphFont"/>
    <w:link w:val="Headingb"/>
    <w:locked/>
    <w:rsid w:val="005D2DA7"/>
    <w:rPr>
      <w:b/>
      <w:sz w:val="24"/>
      <w:lang w:val="fr-FR" w:eastAsia="en-US"/>
    </w:rPr>
  </w:style>
  <w:style w:type="paragraph" w:customStyle="1" w:styleId="Headingi">
    <w:name w:val="Heading_i"/>
    <w:basedOn w:val="Heading3"/>
    <w:next w:val="Normal"/>
    <w:rsid w:val="009A7C12"/>
    <w:pPr>
      <w:spacing w:before="160"/>
      <w:ind w:left="0" w:firstLine="0"/>
    </w:pPr>
    <w:rPr>
      <w:b w:val="0"/>
      <w:i/>
    </w:rPr>
  </w:style>
  <w:style w:type="character" w:customStyle="1" w:styleId="href">
    <w:name w:val="href"/>
    <w:basedOn w:val="DefaultParagraphFont"/>
    <w:rsid w:val="009A7C12"/>
  </w:style>
  <w:style w:type="paragraph" w:customStyle="1" w:styleId="enumlev1">
    <w:name w:val="enumlev1"/>
    <w:basedOn w:val="Normal"/>
    <w:link w:val="enumlev1Char"/>
    <w:rsid w:val="009A7C12"/>
    <w:pPr>
      <w:spacing w:before="80"/>
      <w:ind w:left="794" w:hanging="794"/>
    </w:pPr>
  </w:style>
  <w:style w:type="character" w:customStyle="1" w:styleId="enumlev1Char">
    <w:name w:val="enumlev1 Char"/>
    <w:basedOn w:val="DefaultParagraphFont"/>
    <w:link w:val="enumlev1"/>
    <w:locked/>
    <w:rsid w:val="005D2DA7"/>
    <w:rPr>
      <w:sz w:val="24"/>
      <w:lang w:val="fr-FR" w:eastAsia="en-US"/>
    </w:rPr>
  </w:style>
  <w:style w:type="paragraph" w:customStyle="1" w:styleId="enumlev2">
    <w:name w:val="enumlev2"/>
    <w:basedOn w:val="enumlev1"/>
    <w:rsid w:val="009A7C12"/>
    <w:pPr>
      <w:ind w:left="1191" w:hanging="397"/>
    </w:pPr>
  </w:style>
  <w:style w:type="paragraph" w:customStyle="1" w:styleId="enumlev3">
    <w:name w:val="enumlev3"/>
    <w:basedOn w:val="enumlev2"/>
    <w:rsid w:val="009A7C12"/>
    <w:pPr>
      <w:ind w:left="1588"/>
    </w:pPr>
  </w:style>
  <w:style w:type="paragraph" w:customStyle="1" w:styleId="Normalaftertitle">
    <w:name w:val="Normal_after_title"/>
    <w:basedOn w:val="Normal"/>
    <w:next w:val="Normal"/>
    <w:link w:val="NormalaftertitleChar"/>
    <w:rsid w:val="009A7C12"/>
    <w:pPr>
      <w:spacing w:before="320"/>
    </w:pPr>
  </w:style>
  <w:style w:type="character" w:customStyle="1" w:styleId="NormalaftertitleChar">
    <w:name w:val="Normal_after_title Char"/>
    <w:basedOn w:val="DefaultParagraphFont"/>
    <w:link w:val="Normalaftertitle"/>
    <w:locked/>
    <w:rsid w:val="005D2DA7"/>
    <w:rPr>
      <w:sz w:val="24"/>
      <w:lang w:val="fr-FR" w:eastAsia="en-US"/>
    </w:rPr>
  </w:style>
  <w:style w:type="paragraph" w:customStyle="1" w:styleId="Note">
    <w:name w:val="Note"/>
    <w:basedOn w:val="Normal"/>
    <w:link w:val="NoteChar"/>
    <w:rsid w:val="009A7C12"/>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D2DA7"/>
    <w:rPr>
      <w:sz w:val="22"/>
      <w:lang w:val="fr-FR" w:eastAsia="en-US"/>
    </w:rPr>
  </w:style>
  <w:style w:type="paragraph" w:customStyle="1" w:styleId="RecNo">
    <w:name w:val="Rec_No"/>
    <w:basedOn w:val="Normal"/>
    <w:next w:val="Rectitle"/>
    <w:rsid w:val="009A7C1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A7C12"/>
    <w:pPr>
      <w:keepNext/>
      <w:keepLines/>
      <w:spacing w:before="240"/>
      <w:jc w:val="center"/>
    </w:pPr>
    <w:rPr>
      <w:b/>
      <w:sz w:val="28"/>
    </w:rPr>
  </w:style>
  <w:style w:type="paragraph" w:customStyle="1" w:styleId="Recref">
    <w:name w:val="Rec_ref"/>
    <w:basedOn w:val="Normal"/>
    <w:next w:val="Recdate"/>
    <w:rsid w:val="009A7C12"/>
    <w:pPr>
      <w:jc w:val="center"/>
    </w:pPr>
  </w:style>
  <w:style w:type="paragraph" w:customStyle="1" w:styleId="Recdate">
    <w:name w:val="Rec_date"/>
    <w:basedOn w:val="Recref"/>
    <w:next w:val="Normalaftertitle"/>
    <w:rsid w:val="009A7C12"/>
    <w:pPr>
      <w:jc w:val="right"/>
    </w:pPr>
  </w:style>
  <w:style w:type="paragraph" w:customStyle="1" w:styleId="HeadingSum">
    <w:name w:val="Heading_Sum"/>
    <w:basedOn w:val="Headingb"/>
    <w:next w:val="Normal"/>
    <w:autoRedefine/>
    <w:rsid w:val="009A7C12"/>
    <w:pPr>
      <w:spacing w:before="240"/>
    </w:pPr>
    <w:rPr>
      <w:sz w:val="22"/>
      <w:lang w:val="es-ES_tradnl"/>
    </w:rPr>
  </w:style>
  <w:style w:type="paragraph" w:customStyle="1" w:styleId="AnnexNoTitle">
    <w:name w:val="Annex_NoTitle"/>
    <w:basedOn w:val="Normal"/>
    <w:next w:val="Normalaftertitle"/>
    <w:rsid w:val="009A7C12"/>
    <w:pPr>
      <w:keepNext/>
      <w:keepLines/>
      <w:spacing w:before="480" w:after="80"/>
      <w:jc w:val="center"/>
    </w:pPr>
    <w:rPr>
      <w:b/>
      <w:sz w:val="28"/>
    </w:rPr>
  </w:style>
  <w:style w:type="paragraph" w:customStyle="1" w:styleId="AppendixNoTitle">
    <w:name w:val="Appendix_NoTitle"/>
    <w:basedOn w:val="AnnexNoTitle"/>
    <w:next w:val="Normal"/>
    <w:rsid w:val="009A7C12"/>
  </w:style>
  <w:style w:type="paragraph" w:customStyle="1" w:styleId="Tablefin">
    <w:name w:val="Table_fin"/>
    <w:basedOn w:val="Normal"/>
    <w:next w:val="Normal"/>
    <w:rsid w:val="009A7C12"/>
    <w:pPr>
      <w:spacing w:before="0"/>
    </w:pPr>
    <w:rPr>
      <w:sz w:val="20"/>
      <w:lang w:val="en-GB"/>
    </w:rPr>
  </w:style>
  <w:style w:type="paragraph" w:customStyle="1" w:styleId="Tablehead">
    <w:name w:val="Table_head"/>
    <w:basedOn w:val="Normal"/>
    <w:next w:val="Normal"/>
    <w:link w:val="TableheadChar"/>
    <w:rsid w:val="009A7C1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5D2DA7"/>
    <w:rPr>
      <w:b/>
      <w:sz w:val="22"/>
      <w:lang w:val="fr-FR" w:eastAsia="en-US"/>
    </w:rPr>
  </w:style>
  <w:style w:type="paragraph" w:customStyle="1" w:styleId="Tablelegend">
    <w:name w:val="Table_legend"/>
    <w:basedOn w:val="Normal"/>
    <w:rsid w:val="009A7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A7C12"/>
    <w:pPr>
      <w:keepNext/>
      <w:spacing w:before="360" w:after="120"/>
      <w:jc w:val="center"/>
    </w:pPr>
  </w:style>
  <w:style w:type="character" w:customStyle="1" w:styleId="TableNoChar">
    <w:name w:val="Table_No Char"/>
    <w:link w:val="TableNo"/>
    <w:locked/>
    <w:rsid w:val="005D2DA7"/>
    <w:rPr>
      <w:sz w:val="24"/>
      <w:lang w:val="fr-FR" w:eastAsia="en-US"/>
    </w:rPr>
  </w:style>
  <w:style w:type="paragraph" w:customStyle="1" w:styleId="Tabletext">
    <w:name w:val="Table_text"/>
    <w:basedOn w:val="Normal"/>
    <w:link w:val="TabletextChar"/>
    <w:rsid w:val="009A7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5D2DA7"/>
    <w:rPr>
      <w:sz w:val="22"/>
      <w:lang w:val="fr-FR" w:eastAsia="en-US"/>
    </w:rPr>
  </w:style>
  <w:style w:type="paragraph" w:customStyle="1" w:styleId="Equation">
    <w:name w:val="Equation"/>
    <w:basedOn w:val="Normal"/>
    <w:rsid w:val="009A7C12"/>
    <w:pPr>
      <w:tabs>
        <w:tab w:val="clear" w:pos="1191"/>
        <w:tab w:val="clear" w:pos="1588"/>
        <w:tab w:val="clear" w:pos="1985"/>
        <w:tab w:val="center" w:pos="4820"/>
        <w:tab w:val="right" w:pos="9639"/>
      </w:tabs>
    </w:pPr>
  </w:style>
  <w:style w:type="paragraph" w:customStyle="1" w:styleId="Equationlegend">
    <w:name w:val="Equation_legend"/>
    <w:basedOn w:val="NormalIndent"/>
    <w:rsid w:val="009A7C1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7C12"/>
    <w:pPr>
      <w:ind w:left="794"/>
    </w:pPr>
  </w:style>
  <w:style w:type="paragraph" w:customStyle="1" w:styleId="Figurelegend">
    <w:name w:val="Figure_legend"/>
    <w:basedOn w:val="Normal"/>
    <w:rsid w:val="009A7C1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A7C12"/>
    <w:pPr>
      <w:keepNext/>
      <w:keepLines/>
      <w:spacing w:before="480" w:after="80"/>
      <w:jc w:val="center"/>
    </w:pPr>
    <w:rPr>
      <w:caps/>
      <w:sz w:val="18"/>
    </w:rPr>
  </w:style>
  <w:style w:type="paragraph" w:customStyle="1" w:styleId="Figuretitle">
    <w:name w:val="Figure_title"/>
    <w:basedOn w:val="Normal"/>
    <w:next w:val="Figure"/>
    <w:link w:val="FiguretitleChar"/>
    <w:rsid w:val="009A7C12"/>
    <w:pPr>
      <w:keepNext/>
      <w:spacing w:before="0" w:after="120"/>
      <w:jc w:val="center"/>
    </w:pPr>
    <w:rPr>
      <w:rFonts w:ascii="Times New Roman Bold" w:hAnsi="Times New Roman Bold"/>
      <w:b/>
      <w:sz w:val="18"/>
    </w:rPr>
  </w:style>
  <w:style w:type="paragraph" w:customStyle="1" w:styleId="Figure">
    <w:name w:val="Figure"/>
    <w:basedOn w:val="FigureNo"/>
    <w:next w:val="Normal"/>
    <w:rsid w:val="009A7C12"/>
    <w:pPr>
      <w:keepNext w:val="0"/>
      <w:spacing w:before="0" w:after="240"/>
    </w:pPr>
  </w:style>
  <w:style w:type="character" w:customStyle="1" w:styleId="FiguretitleChar">
    <w:name w:val="Figure_title Char"/>
    <w:basedOn w:val="DefaultParagraphFont"/>
    <w:link w:val="Figuretitle"/>
    <w:rsid w:val="005D2DA7"/>
    <w:rPr>
      <w:rFonts w:ascii="Times New Roman Bold" w:hAnsi="Times New Roman Bold"/>
      <w:b/>
      <w:sz w:val="18"/>
      <w:lang w:val="fr-FR" w:eastAsia="en-US"/>
    </w:rPr>
  </w:style>
  <w:style w:type="character" w:customStyle="1" w:styleId="FigureNoChar">
    <w:name w:val="Figure_No Char"/>
    <w:basedOn w:val="DefaultParagraphFont"/>
    <w:link w:val="FigureNo"/>
    <w:rsid w:val="005D2DA7"/>
    <w:rPr>
      <w:caps/>
      <w:sz w:val="18"/>
      <w:lang w:val="fr-FR" w:eastAsia="en-US"/>
    </w:rPr>
  </w:style>
  <w:style w:type="paragraph" w:customStyle="1" w:styleId="tocpart">
    <w:name w:val="tocpart"/>
    <w:basedOn w:val="Normal"/>
    <w:rsid w:val="009A7C1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7C12"/>
    <w:pPr>
      <w:keepNext/>
      <w:keepLines/>
      <w:spacing w:before="480"/>
      <w:jc w:val="center"/>
    </w:pPr>
    <w:rPr>
      <w:sz w:val="28"/>
    </w:rPr>
  </w:style>
  <w:style w:type="paragraph" w:customStyle="1" w:styleId="Arttitle">
    <w:name w:val="Art_title"/>
    <w:basedOn w:val="Normal"/>
    <w:next w:val="Normalaftertitle"/>
    <w:link w:val="ArttitleChar"/>
    <w:rsid w:val="009A7C12"/>
    <w:pPr>
      <w:keepNext/>
      <w:keepLines/>
      <w:spacing w:before="240"/>
      <w:jc w:val="center"/>
    </w:pPr>
    <w:rPr>
      <w:b/>
      <w:sz w:val="28"/>
    </w:rPr>
  </w:style>
  <w:style w:type="character" w:customStyle="1" w:styleId="ArttitleChar">
    <w:name w:val="Art_title Char"/>
    <w:basedOn w:val="DefaultParagraphFont"/>
    <w:link w:val="Arttitle"/>
    <w:locked/>
    <w:rsid w:val="005D2DA7"/>
    <w:rPr>
      <w:b/>
      <w:sz w:val="28"/>
      <w:lang w:val="fr-FR" w:eastAsia="en-US"/>
    </w:rPr>
  </w:style>
  <w:style w:type="paragraph" w:customStyle="1" w:styleId="Blanc">
    <w:name w:val="Blanc"/>
    <w:basedOn w:val="Normal"/>
    <w:next w:val="Tabletext"/>
    <w:rsid w:val="009A7C1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7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A7C12"/>
    <w:pPr>
      <w:keepNext/>
      <w:keepLines/>
      <w:spacing w:before="160"/>
      <w:ind w:left="794"/>
    </w:pPr>
    <w:rPr>
      <w:i/>
    </w:rPr>
  </w:style>
  <w:style w:type="character" w:customStyle="1" w:styleId="CallChar">
    <w:name w:val="Call Char"/>
    <w:basedOn w:val="DefaultParagraphFont"/>
    <w:link w:val="Call"/>
    <w:locked/>
    <w:rsid w:val="005D2DA7"/>
    <w:rPr>
      <w:i/>
      <w:sz w:val="24"/>
      <w:lang w:val="fr-FR" w:eastAsia="en-US"/>
    </w:rPr>
  </w:style>
  <w:style w:type="paragraph" w:customStyle="1" w:styleId="ChapNo">
    <w:name w:val="Chap_No"/>
    <w:basedOn w:val="ArtNo"/>
    <w:next w:val="Chaptitle"/>
    <w:rsid w:val="009A7C12"/>
    <w:rPr>
      <w:b/>
    </w:rPr>
  </w:style>
  <w:style w:type="paragraph" w:customStyle="1" w:styleId="Chaptitle">
    <w:name w:val="Chap_title"/>
    <w:basedOn w:val="Arttitle"/>
    <w:next w:val="Normalaftertitle"/>
    <w:rsid w:val="009A7C12"/>
  </w:style>
  <w:style w:type="character" w:styleId="FootnoteReference">
    <w:name w:val="footnote reference"/>
    <w:basedOn w:val="DefaultParagraphFont"/>
    <w:uiPriority w:val="99"/>
    <w:rsid w:val="000C45CC"/>
    <w:rPr>
      <w:position w:val="6"/>
      <w:sz w:val="18"/>
    </w:rPr>
  </w:style>
  <w:style w:type="paragraph" w:styleId="Index1">
    <w:name w:val="index 1"/>
    <w:basedOn w:val="Normal"/>
    <w:next w:val="Normal"/>
    <w:semiHidden/>
    <w:rsid w:val="009A7C12"/>
  </w:style>
  <w:style w:type="paragraph" w:styleId="Index2">
    <w:name w:val="index 2"/>
    <w:basedOn w:val="Normal"/>
    <w:next w:val="Normal"/>
    <w:semiHidden/>
    <w:rsid w:val="009A7C12"/>
    <w:pPr>
      <w:ind w:left="283"/>
    </w:pPr>
  </w:style>
  <w:style w:type="paragraph" w:styleId="Index3">
    <w:name w:val="index 3"/>
    <w:basedOn w:val="Normal"/>
    <w:next w:val="Normal"/>
    <w:semiHidden/>
    <w:rsid w:val="009A7C12"/>
    <w:pPr>
      <w:ind w:left="566"/>
    </w:pPr>
  </w:style>
  <w:style w:type="paragraph" w:styleId="IndexHeading">
    <w:name w:val="index heading"/>
    <w:basedOn w:val="Normal"/>
    <w:next w:val="Index1"/>
    <w:rsid w:val="009A7C12"/>
  </w:style>
  <w:style w:type="paragraph" w:customStyle="1" w:styleId="Line">
    <w:name w:val="Line"/>
    <w:basedOn w:val="Normal"/>
    <w:next w:val="Normal"/>
    <w:rsid w:val="009A7C1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7C1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7C12"/>
  </w:style>
  <w:style w:type="paragraph" w:customStyle="1" w:styleId="Partref">
    <w:name w:val="Part_ref"/>
    <w:basedOn w:val="Normal"/>
    <w:next w:val="Normal"/>
    <w:rsid w:val="009A7C12"/>
    <w:pPr>
      <w:keepNext/>
      <w:keepLines/>
      <w:spacing w:after="280"/>
      <w:jc w:val="center"/>
    </w:pPr>
  </w:style>
  <w:style w:type="paragraph" w:customStyle="1" w:styleId="Parttitle">
    <w:name w:val="Part_title"/>
    <w:basedOn w:val="Normal"/>
    <w:next w:val="Normalaftertitle"/>
    <w:rsid w:val="009A7C1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A7C12"/>
  </w:style>
  <w:style w:type="paragraph" w:customStyle="1" w:styleId="QuestionNo">
    <w:name w:val="Question_No"/>
    <w:basedOn w:val="RecNo"/>
    <w:next w:val="Normal"/>
    <w:rsid w:val="009A7C12"/>
  </w:style>
  <w:style w:type="paragraph" w:customStyle="1" w:styleId="Questionref">
    <w:name w:val="Question_ref"/>
    <w:basedOn w:val="Recref"/>
    <w:next w:val="Questiondate"/>
    <w:rsid w:val="009A7C12"/>
  </w:style>
  <w:style w:type="paragraph" w:customStyle="1" w:styleId="Questiontitle">
    <w:name w:val="Question_title"/>
    <w:basedOn w:val="Normal"/>
    <w:next w:val="Questionref"/>
    <w:rsid w:val="009A7C12"/>
  </w:style>
  <w:style w:type="paragraph" w:customStyle="1" w:styleId="Reftext">
    <w:name w:val="Ref_text"/>
    <w:basedOn w:val="Normal"/>
    <w:rsid w:val="009A7C12"/>
    <w:pPr>
      <w:ind w:left="794" w:hanging="794"/>
    </w:pPr>
    <w:rPr>
      <w:sz w:val="22"/>
    </w:rPr>
  </w:style>
  <w:style w:type="paragraph" w:customStyle="1" w:styleId="Reftitle">
    <w:name w:val="Ref_title"/>
    <w:basedOn w:val="Normal"/>
    <w:next w:val="Reftext"/>
    <w:rsid w:val="009A7C1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A7C12"/>
  </w:style>
  <w:style w:type="paragraph" w:customStyle="1" w:styleId="RepNo">
    <w:name w:val="Rep_No"/>
    <w:basedOn w:val="RecNo"/>
    <w:next w:val="Reptitle"/>
    <w:rsid w:val="009A7C12"/>
  </w:style>
  <w:style w:type="paragraph" w:customStyle="1" w:styleId="Reptitle">
    <w:name w:val="Rep_title"/>
    <w:basedOn w:val="Rectitle"/>
    <w:next w:val="Repref"/>
    <w:rsid w:val="009A7C12"/>
  </w:style>
  <w:style w:type="paragraph" w:customStyle="1" w:styleId="Repref">
    <w:name w:val="Rep_ref"/>
    <w:basedOn w:val="Recref"/>
    <w:next w:val="Repdate"/>
    <w:rsid w:val="009A7C12"/>
  </w:style>
  <w:style w:type="paragraph" w:customStyle="1" w:styleId="Resdate">
    <w:name w:val="Res_date"/>
    <w:basedOn w:val="Recdate"/>
    <w:next w:val="Normalaftertitle"/>
    <w:rsid w:val="009A7C12"/>
  </w:style>
  <w:style w:type="paragraph" w:customStyle="1" w:styleId="ResNo">
    <w:name w:val="Res_No"/>
    <w:basedOn w:val="RecNo"/>
    <w:next w:val="Restitle"/>
    <w:rsid w:val="009A7C12"/>
  </w:style>
  <w:style w:type="paragraph" w:customStyle="1" w:styleId="Restitle">
    <w:name w:val="Res_title"/>
    <w:basedOn w:val="Normal"/>
    <w:next w:val="Resref"/>
    <w:rsid w:val="009A7C12"/>
    <w:pPr>
      <w:spacing w:before="240"/>
      <w:jc w:val="center"/>
    </w:pPr>
    <w:rPr>
      <w:b/>
      <w:sz w:val="28"/>
    </w:rPr>
  </w:style>
  <w:style w:type="paragraph" w:customStyle="1" w:styleId="Resref">
    <w:name w:val="Res_ref"/>
    <w:basedOn w:val="Recref"/>
    <w:next w:val="Resdate"/>
    <w:rsid w:val="009A7C12"/>
  </w:style>
  <w:style w:type="paragraph" w:customStyle="1" w:styleId="SectionNo">
    <w:name w:val="Section_No"/>
    <w:basedOn w:val="Normal"/>
    <w:next w:val="Normal"/>
    <w:rsid w:val="009A7C12"/>
  </w:style>
  <w:style w:type="paragraph" w:customStyle="1" w:styleId="Sectiontitle">
    <w:name w:val="Section_title"/>
    <w:basedOn w:val="Normal"/>
    <w:next w:val="Normalaftertitle"/>
    <w:rsid w:val="009A7C1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A7C12"/>
    <w:pPr>
      <w:tabs>
        <w:tab w:val="clear" w:pos="794"/>
        <w:tab w:val="clear" w:pos="1191"/>
        <w:tab w:val="clear" w:pos="1588"/>
        <w:tab w:val="clear" w:pos="1985"/>
        <w:tab w:val="right" w:pos="9611"/>
      </w:tabs>
    </w:pPr>
    <w:rPr>
      <w:i/>
    </w:rPr>
  </w:style>
  <w:style w:type="paragraph" w:styleId="TOC1">
    <w:name w:val="toc 1"/>
    <w:basedOn w:val="Normal"/>
    <w:uiPriority w:val="39"/>
    <w:rsid w:val="009A7C1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A7C12"/>
    <w:pPr>
      <w:tabs>
        <w:tab w:val="clear" w:pos="567"/>
        <w:tab w:val="left" w:pos="1276"/>
      </w:tabs>
      <w:spacing w:before="160"/>
      <w:ind w:left="1276" w:hanging="709"/>
    </w:pPr>
  </w:style>
  <w:style w:type="paragraph" w:styleId="TOC3">
    <w:name w:val="toc 3"/>
    <w:basedOn w:val="TOC2"/>
    <w:rsid w:val="009A7C12"/>
    <w:pPr>
      <w:tabs>
        <w:tab w:val="clear" w:pos="1276"/>
        <w:tab w:val="left" w:pos="2155"/>
      </w:tabs>
      <w:ind w:left="2155" w:hanging="879"/>
    </w:pPr>
  </w:style>
  <w:style w:type="paragraph" w:styleId="TOC4">
    <w:name w:val="toc 4"/>
    <w:basedOn w:val="TOC3"/>
    <w:rsid w:val="009A7C12"/>
    <w:pPr>
      <w:tabs>
        <w:tab w:val="left" w:pos="3261"/>
      </w:tabs>
      <w:spacing w:before="80"/>
      <w:ind w:left="3261" w:hanging="993"/>
    </w:pPr>
  </w:style>
  <w:style w:type="paragraph" w:styleId="TOC5">
    <w:name w:val="toc 5"/>
    <w:basedOn w:val="TOC4"/>
    <w:rsid w:val="009A7C12"/>
  </w:style>
  <w:style w:type="paragraph" w:styleId="TOC6">
    <w:name w:val="toc 6"/>
    <w:basedOn w:val="TOC4"/>
    <w:rsid w:val="009A7C12"/>
  </w:style>
  <w:style w:type="paragraph" w:styleId="TOC7">
    <w:name w:val="toc 7"/>
    <w:basedOn w:val="TOC4"/>
    <w:rsid w:val="009A7C12"/>
  </w:style>
  <w:style w:type="paragraph" w:styleId="TOC8">
    <w:name w:val="toc 8"/>
    <w:basedOn w:val="TOC4"/>
    <w:rsid w:val="009A7C12"/>
  </w:style>
  <w:style w:type="paragraph" w:customStyle="1" w:styleId="Annexref">
    <w:name w:val="Annex_ref"/>
    <w:basedOn w:val="Normal"/>
    <w:next w:val="Normalaftertitle"/>
    <w:rsid w:val="009A7C12"/>
    <w:pPr>
      <w:keepNext/>
      <w:keepLines/>
      <w:spacing w:after="280"/>
      <w:jc w:val="center"/>
    </w:pPr>
  </w:style>
  <w:style w:type="paragraph" w:customStyle="1" w:styleId="Appendixref">
    <w:name w:val="Appendix_ref"/>
    <w:basedOn w:val="Annexref"/>
    <w:next w:val="Normalaftertitle"/>
    <w:rsid w:val="009A7C12"/>
  </w:style>
  <w:style w:type="paragraph" w:customStyle="1" w:styleId="Tabletitle">
    <w:name w:val="Table_title"/>
    <w:basedOn w:val="Normal"/>
    <w:next w:val="Tablehead"/>
    <w:link w:val="TabletitleChar"/>
    <w:rsid w:val="009A7C12"/>
    <w:pPr>
      <w:keepNext/>
      <w:spacing w:before="0" w:after="120"/>
      <w:jc w:val="center"/>
    </w:pPr>
    <w:rPr>
      <w:b/>
    </w:rPr>
  </w:style>
  <w:style w:type="character" w:customStyle="1" w:styleId="TabletitleChar">
    <w:name w:val="Table_title Char"/>
    <w:link w:val="Tabletitle"/>
    <w:locked/>
    <w:rsid w:val="005D2DA7"/>
    <w:rPr>
      <w:b/>
      <w:sz w:val="24"/>
      <w:lang w:val="fr-FR" w:eastAsia="en-US"/>
    </w:rPr>
  </w:style>
  <w:style w:type="paragraph" w:customStyle="1" w:styleId="Summary">
    <w:name w:val="Summary"/>
    <w:basedOn w:val="Normal"/>
    <w:next w:val="Normalaftertitle"/>
    <w:autoRedefine/>
    <w:rsid w:val="009A7C12"/>
    <w:pPr>
      <w:spacing w:after="480"/>
    </w:pPr>
    <w:rPr>
      <w:sz w:val="22"/>
      <w:lang w:val="es-ES_tradnl"/>
    </w:rPr>
  </w:style>
  <w:style w:type="paragraph" w:customStyle="1" w:styleId="TableLegendNote">
    <w:name w:val="Table_Legend_Note"/>
    <w:basedOn w:val="Tablelegend"/>
    <w:next w:val="Tablelegend"/>
    <w:rsid w:val="009A7C12"/>
    <w:pPr>
      <w:ind w:left="-85" w:firstLine="0"/>
    </w:pPr>
    <w:rPr>
      <w:lang w:val="en-US"/>
    </w:rPr>
  </w:style>
  <w:style w:type="character" w:styleId="Hyperlink">
    <w:name w:val="Hyperlink"/>
    <w:basedOn w:val="DefaultParagraphFont"/>
    <w:uiPriority w:val="99"/>
    <w:rsid w:val="005D2DA7"/>
    <w:rPr>
      <w:color w:val="0000FF"/>
      <w:u w:val="single"/>
    </w:rPr>
  </w:style>
  <w:style w:type="paragraph" w:customStyle="1" w:styleId="AnnexNo">
    <w:name w:val="Annex_No"/>
    <w:basedOn w:val="Normal"/>
    <w:next w:val="Normal"/>
    <w:link w:val="AnnexNoChar"/>
    <w:rsid w:val="005D2DA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rsid w:val="005D2DA7"/>
    <w:rPr>
      <w:caps/>
      <w:sz w:val="28"/>
      <w:lang w:val="en-GB" w:eastAsia="en-US"/>
    </w:rPr>
  </w:style>
  <w:style w:type="paragraph" w:customStyle="1" w:styleId="Annextitle">
    <w:name w:val="Annex_title"/>
    <w:basedOn w:val="Normal"/>
    <w:next w:val="Normal"/>
    <w:rsid w:val="005D2DA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5D2DA7"/>
    <w:pPr>
      <w:tabs>
        <w:tab w:val="clear" w:pos="794"/>
        <w:tab w:val="clear" w:pos="1191"/>
        <w:tab w:val="left" w:pos="1134"/>
      </w:tabs>
      <w:jc w:val="left"/>
    </w:pPr>
    <w:rPr>
      <w:lang w:val="en-GB"/>
    </w:rPr>
  </w:style>
  <w:style w:type="table" w:styleId="TableGrid">
    <w:name w:val="Table Grid"/>
    <w:basedOn w:val="TableNormal"/>
    <w:uiPriority w:val="59"/>
    <w:rsid w:val="005D2DA7"/>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D2DA7"/>
    <w:pPr>
      <w:tabs>
        <w:tab w:val="clear" w:pos="794"/>
        <w:tab w:val="clear" w:pos="1191"/>
        <w:tab w:val="clear" w:pos="1588"/>
        <w:tab w:val="clear" w:pos="1985"/>
        <w:tab w:val="left" w:pos="1134"/>
        <w:tab w:val="left" w:pos="1871"/>
        <w:tab w:val="left" w:pos="2268"/>
      </w:tabs>
      <w:ind w:leftChars="400" w:left="800"/>
      <w:jc w:val="left"/>
    </w:pPr>
    <w:rPr>
      <w:rFonts w:eastAsia="Batang"/>
      <w:lang w:val="en-GB"/>
    </w:rPr>
  </w:style>
  <w:style w:type="character" w:customStyle="1" w:styleId="ListParagraphChar">
    <w:name w:val="List Paragraph Char"/>
    <w:basedOn w:val="DefaultParagraphFont"/>
    <w:link w:val="ListParagraph"/>
    <w:uiPriority w:val="34"/>
    <w:locked/>
    <w:rsid w:val="005D2DA7"/>
    <w:rPr>
      <w:rFonts w:eastAsia="Batang"/>
      <w:sz w:val="24"/>
      <w:lang w:val="en-GB" w:eastAsia="en-US"/>
    </w:rPr>
  </w:style>
  <w:style w:type="paragraph" w:customStyle="1" w:styleId="TableText0">
    <w:name w:val="Table_Text"/>
    <w:basedOn w:val="Normal"/>
    <w:link w:val="TableTextChar0"/>
    <w:uiPriority w:val="99"/>
    <w:rsid w:val="005D2DA7"/>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Batang"/>
      <w:sz w:val="22"/>
      <w:lang w:val="en-GB"/>
    </w:rPr>
  </w:style>
  <w:style w:type="character" w:customStyle="1" w:styleId="TableTextChar0">
    <w:name w:val="Table_Text Char"/>
    <w:basedOn w:val="DefaultParagraphFont"/>
    <w:link w:val="TableText0"/>
    <w:uiPriority w:val="99"/>
    <w:locked/>
    <w:rsid w:val="005D2DA7"/>
    <w:rPr>
      <w:rFonts w:eastAsia="Batang"/>
      <w:sz w:val="22"/>
      <w:lang w:val="en-GB" w:eastAsia="en-US"/>
    </w:rPr>
  </w:style>
  <w:style w:type="paragraph" w:customStyle="1" w:styleId="TableTitle0">
    <w:name w:val="Table_Title"/>
    <w:basedOn w:val="Normal"/>
    <w:next w:val="TableText0"/>
    <w:uiPriority w:val="99"/>
    <w:rsid w:val="00D513B3"/>
    <w:pPr>
      <w:keepNext/>
      <w:keepLines/>
      <w:tabs>
        <w:tab w:val="clear" w:pos="794"/>
        <w:tab w:val="clear" w:pos="1191"/>
        <w:tab w:val="clear" w:pos="1588"/>
        <w:tab w:val="clear" w:pos="1985"/>
      </w:tabs>
      <w:overflowPunct/>
      <w:autoSpaceDE/>
      <w:autoSpaceDN/>
      <w:adjustRightInd/>
      <w:spacing w:before="0" w:after="120"/>
      <w:jc w:val="center"/>
      <w:textAlignment w:val="auto"/>
    </w:pPr>
    <w:rPr>
      <w:rFonts w:eastAsia="Batang"/>
      <w:b/>
      <w:lang w:val="en-GB"/>
    </w:rPr>
  </w:style>
  <w:style w:type="character" w:customStyle="1" w:styleId="CommentTextChar">
    <w:name w:val="Comment Text Char"/>
    <w:basedOn w:val="DefaultParagraphFont"/>
    <w:link w:val="CommentText"/>
    <w:uiPriority w:val="99"/>
    <w:rsid w:val="005D2DA7"/>
    <w:rPr>
      <w:rFonts w:eastAsia="Calibri"/>
      <w:sz w:val="22"/>
      <w:szCs w:val="22"/>
      <w:lang w:val="en-GB"/>
    </w:rPr>
  </w:style>
  <w:style w:type="paragraph" w:styleId="CommentText">
    <w:name w:val="annotation text"/>
    <w:basedOn w:val="Normal"/>
    <w:link w:val="CommentTextChar"/>
    <w:uiPriority w:val="99"/>
    <w:rsid w:val="005D2DA7"/>
    <w:pPr>
      <w:tabs>
        <w:tab w:val="clear" w:pos="794"/>
        <w:tab w:val="clear" w:pos="1191"/>
        <w:tab w:val="clear" w:pos="1588"/>
        <w:tab w:val="clear" w:pos="1985"/>
      </w:tabs>
      <w:overflowPunct/>
      <w:autoSpaceDE/>
      <w:autoSpaceDN/>
      <w:adjustRightInd/>
      <w:spacing w:before="0"/>
      <w:jc w:val="left"/>
      <w:textAlignment w:val="auto"/>
    </w:pPr>
    <w:rPr>
      <w:rFonts w:eastAsia="Calibri"/>
      <w:sz w:val="22"/>
      <w:szCs w:val="22"/>
      <w:lang w:val="en-GB" w:eastAsia="zh-CN"/>
    </w:rPr>
  </w:style>
  <w:style w:type="character" w:styleId="Emphasis">
    <w:name w:val="Emphasis"/>
    <w:basedOn w:val="DefaultParagraphFont"/>
    <w:qFormat/>
    <w:rsid w:val="005D2DA7"/>
    <w:rPr>
      <w:i/>
      <w:iCs/>
    </w:rPr>
  </w:style>
  <w:style w:type="table" w:customStyle="1" w:styleId="41">
    <w:name w:val="일반 표 41"/>
    <w:basedOn w:val="TableNormal"/>
    <w:uiPriority w:val="44"/>
    <w:rsid w:val="005D2DA7"/>
    <w:rPr>
      <w:rFonts w:ascii="CG Times" w:eastAsia="Batang" w:hAnsi="CG Times"/>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
    <w:name w:val="Medium Shading 2 - Accent 11"/>
    <w:basedOn w:val="TableNormal"/>
    <w:uiPriority w:val="99"/>
    <w:rsid w:val="005D2DA7"/>
    <w:rPr>
      <w:rFonts w:ascii="Calibri" w:eastAsia="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5D2DA7"/>
    <w:rPr>
      <w:rFonts w:eastAsia="Batang"/>
      <w:sz w:val="24"/>
      <w:lang w:val="en-GB" w:eastAsia="en-US"/>
    </w:rPr>
  </w:style>
  <w:style w:type="table" w:customStyle="1" w:styleId="TableGrid1">
    <w:name w:val="Table Grid1"/>
    <w:basedOn w:val="TableNormal"/>
    <w:next w:val="TableGrid"/>
    <w:rsid w:val="005D2DA7"/>
    <w:rPr>
      <w:rFonts w:ascii="CG Times" w:eastAsia="Batang"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표 구분선1"/>
    <w:basedOn w:val="TableNormal"/>
    <w:next w:val="TableGrid"/>
    <w:rsid w:val="005D2DA7"/>
    <w:rPr>
      <w:rFonts w:ascii="CG Times" w:eastAsia="MS Mincho"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
    <w:name w:val="Plum Table"/>
    <w:basedOn w:val="TableNormal"/>
    <w:rsid w:val="005D2DA7"/>
    <w:pPr>
      <w:spacing w:after="60"/>
    </w:pPr>
    <w:rPr>
      <w:rFonts w:ascii="Arial" w:eastAsia="Batang"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table" w:customStyle="1" w:styleId="TableGrid11">
    <w:name w:val="Table Grid11"/>
    <w:basedOn w:val="TableNormal"/>
    <w:next w:val="TableGrid"/>
    <w:rsid w:val="005D2DA7"/>
    <w:rPr>
      <w:rFonts w:ascii="CG Times" w:eastAsia="Batang"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9A7C1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B3D4F"/>
    <w:rPr>
      <w:noProof/>
      <w:sz w:val="18"/>
      <w:lang w:val="fr-FR" w:eastAsia="en-US"/>
    </w:rPr>
  </w:style>
  <w:style w:type="paragraph" w:styleId="Header">
    <w:name w:val="header"/>
    <w:basedOn w:val="Normal"/>
    <w:link w:val="HeaderChar"/>
    <w:rsid w:val="009A7C1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B3D4F"/>
    <w:rPr>
      <w:sz w:val="24"/>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rsid w:val="000C45CC"/>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724411"/>
    <w:rPr>
      <w:sz w:val="22"/>
      <w:lang w:val="fr-FR" w:eastAsia="en-US"/>
    </w:rPr>
  </w:style>
  <w:style w:type="character" w:styleId="FollowedHyperlink">
    <w:name w:val="FollowedHyperlink"/>
    <w:basedOn w:val="DefaultParagraphFont"/>
    <w:semiHidden/>
    <w:unhideWhenUsed/>
    <w:rsid w:val="00F22193"/>
    <w:rPr>
      <w:color w:val="800080" w:themeColor="followedHyperlink"/>
      <w:u w:val="single"/>
    </w:rPr>
  </w:style>
  <w:style w:type="paragraph" w:styleId="EndnoteText">
    <w:name w:val="endnote text"/>
    <w:basedOn w:val="Normal"/>
    <w:link w:val="EndnoteTextChar"/>
    <w:semiHidden/>
    <w:unhideWhenUsed/>
    <w:rsid w:val="00A4301B"/>
    <w:pPr>
      <w:spacing w:before="0"/>
    </w:pPr>
    <w:rPr>
      <w:sz w:val="20"/>
    </w:rPr>
  </w:style>
  <w:style w:type="character" w:customStyle="1" w:styleId="EndnoteTextChar">
    <w:name w:val="Endnote Text Char"/>
    <w:basedOn w:val="DefaultParagraphFont"/>
    <w:link w:val="EndnoteText"/>
    <w:semiHidden/>
    <w:rsid w:val="00A4301B"/>
    <w:rPr>
      <w:lang w:val="fr-FR" w:eastAsia="en-US"/>
    </w:rPr>
  </w:style>
  <w:style w:type="character" w:styleId="EndnoteReference">
    <w:name w:val="endnote reference"/>
    <w:basedOn w:val="DefaultParagraphFont"/>
    <w:semiHidden/>
    <w:unhideWhenUsed/>
    <w:rsid w:val="00A430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www.itu.int/en/ITU-D/Statistics/Documents/statistics/2014/ITU_Key_2005-2014_ICT_data.xls" TargetMode="External"/><Relationship Id="rId42" Type="http://schemas.openxmlformats.org/officeDocument/2006/relationships/chart" Target="charts/chart10.xml"/><Relationship Id="rId47" Type="http://schemas.openxmlformats.org/officeDocument/2006/relationships/chart" Target="charts/chart14.xml"/><Relationship Id="rId63" Type="http://schemas.openxmlformats.org/officeDocument/2006/relationships/header" Target="header5.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pub/R-REP-M/publications.aspx?lang=en&amp;parent=R-REP-M.2290" TargetMode="External"/><Relationship Id="rId29" Type="http://schemas.openxmlformats.org/officeDocument/2006/relationships/chart" Target="charts/chart7.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21.emf"/><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chart" Target="charts/chart11.xml"/><Relationship Id="rId48" Type="http://schemas.openxmlformats.org/officeDocument/2006/relationships/image" Target="media/image16.png"/><Relationship Id="rId56" Type="http://schemas.openxmlformats.org/officeDocument/2006/relationships/chart" Target="charts/chart15.xml"/><Relationship Id="rId64" Type="http://schemas.openxmlformats.org/officeDocument/2006/relationships/fontTable" Target="fontTable.xml"/><Relationship Id="rId69" Type="http://schemas.openxmlformats.org/officeDocument/2006/relationships/customXml" Target="../customXml/item4.xml"/><Relationship Id="rId8" Type="http://schemas.openxmlformats.org/officeDocument/2006/relationships/image" Target="media/image1.wmf"/><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pub/R-REP-M/publications.aspx?lang=en&amp;parent=R-REP-M.2290" TargetMode="External"/><Relationship Id="rId25" Type="http://schemas.openxmlformats.org/officeDocument/2006/relationships/image" Target="media/image6.emf"/><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dict.cn/annual%20rate%20of%20growth" TargetMode="External"/><Relationship Id="rId59" Type="http://schemas.openxmlformats.org/officeDocument/2006/relationships/image" Target="media/image26.png"/><Relationship Id="rId67" Type="http://schemas.openxmlformats.org/officeDocument/2006/relationships/customXml" Target="../customXml/item2.xml"/><Relationship Id="rId20" Type="http://schemas.openxmlformats.org/officeDocument/2006/relationships/hyperlink" Target="http://www.itu.int/en/ITU-D/Statistics/Documents/statistics/2014/ITU_Key_2005-2014_ICT_data.xls" TargetMode="External"/><Relationship Id="rId41" Type="http://schemas.openxmlformats.org/officeDocument/2006/relationships/chart" Target="charts/chart9.xml"/><Relationship Id="rId54" Type="http://schemas.openxmlformats.org/officeDocument/2006/relationships/image" Target="media/image22.emf"/><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R-REP-M/publications.aspx?lang=en&amp;parent=R-REP-M.2243" TargetMode="Externa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image" Target="media/image24.png"/><Relationship Id="rId10" Type="http://schemas.openxmlformats.org/officeDocument/2006/relationships/header" Target="header1.xml"/><Relationship Id="rId31" Type="http://schemas.openxmlformats.org/officeDocument/2006/relationships/image" Target="cid:image001.png@01D09236.8ED298C0" TargetMode="External"/><Relationship Id="rId44" Type="http://schemas.openxmlformats.org/officeDocument/2006/relationships/chart" Target="charts/chart12.xml"/><Relationship Id="rId52" Type="http://schemas.openxmlformats.org/officeDocument/2006/relationships/image" Target="media/image20.emf"/><Relationship Id="rId60" Type="http://schemas.openxmlformats.org/officeDocument/2006/relationships/image" Target="media/image27.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4.png"/><Relationship Id="rId39" Type="http://schemas.openxmlformats.org/officeDocument/2006/relationships/image" Target="media/image15.png"/><Relationship Id="rId34" Type="http://schemas.openxmlformats.org/officeDocument/2006/relationships/image" Target="media/image10.emf"/><Relationship Id="rId50" Type="http://schemas.openxmlformats.org/officeDocument/2006/relationships/image" Target="media/image18.png"/><Relationship Id="rId55"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internetlivestats.com/one-second/" TargetMode="External"/><Relationship Id="rId13" Type="http://schemas.openxmlformats.org/officeDocument/2006/relationships/hyperlink" Target="http://www.ericsson.com/TET/trafficView/loadBasicEditor.ericsson" TargetMode="External"/><Relationship Id="rId18" Type="http://schemas.openxmlformats.org/officeDocument/2006/relationships/hyperlink" Target="http://www.msip.go.kr/web/msipContents/contents.do?mId=MTQ2" TargetMode="External"/><Relationship Id="rId3" Type="http://schemas.openxmlformats.org/officeDocument/2006/relationships/hyperlink" Target="http://onlinelibrary.wiley.com/enhanced/doi/10.1002/bltj.21607/" TargetMode="External"/><Relationship Id="rId7" Type="http://schemas.openxmlformats.org/officeDocument/2006/relationships/hyperlink" Target="http://gesi.org/SMARTer%202020" TargetMode="External"/><Relationship Id="rId12" Type="http://schemas.openxmlformats.org/officeDocument/2006/relationships/hyperlink" Target="http://www.gsma.com/connectedliving/wp-content/uploads/2013/03/Presentation-5-Madame-Hunag-China-Mobile.pdf" TargetMode="External"/><Relationship Id="rId17" Type="http://schemas.openxmlformats.org/officeDocument/2006/relationships/hyperlink" Target="http://en.wikipedia.org/wiki/China" TargetMode="External"/><Relationship Id="rId2" Type="http://schemas.openxmlformats.org/officeDocument/2006/relationships/hyperlink" Target="http://www.broadbandcommission.org/Documents/reports/bb-annualreport2014.pdf" TargetMode="External"/><Relationship Id="rId16" Type="http://schemas.openxmlformats.org/officeDocument/2006/relationships/hyperlink" Target="http://en.wikipedia.org/wiki/Beijing" TargetMode="External"/><Relationship Id="rId1" Type="http://schemas.openxmlformats.org/officeDocument/2006/relationships/hyperlink" Target="https://gsmaintelligence.com" TargetMode="External"/><Relationship Id="rId6" Type="http://schemas.openxmlformats.org/officeDocument/2006/relationships/hyperlink" Target="http://www.idate.org/en/Forum/DigiWorld-Yearbook_40_.html" TargetMode="External"/><Relationship Id="rId11" Type="http://schemas.openxmlformats.org/officeDocument/2006/relationships/hyperlink" Target="http://fr.slideshare.net/zahidtg/plum-june2011-benefitsof14ghzspectrumformultimediaservices" TargetMode="External"/><Relationship Id="rId5" Type="http://schemas.openxmlformats.org/officeDocument/2006/relationships/hyperlink" Target="http://www.gartner.com/newsroom/id/2592315" TargetMode="External"/><Relationship Id="rId15" Type="http://schemas.openxmlformats.org/officeDocument/2006/relationships/hyperlink" Target="http://www.gsma.com/connectedliving/wp-content/uploads/2013/03/Presentation-5-Madame-Hunag-China-Mobile.pdf" TargetMode="External"/><Relationship Id="rId10" Type="http://schemas.openxmlformats.org/officeDocument/2006/relationships/hyperlink" Target="http://www.sandvine.com" TargetMode="External"/><Relationship Id="rId4" Type="http://schemas.openxmlformats.org/officeDocument/2006/relationships/hyperlink" Target="http://www.ccsinsight.com" TargetMode="External"/><Relationship Id="rId9" Type="http://schemas.openxmlformats.org/officeDocument/2006/relationships/hyperlink" Target="http://www.cisco.com/c/en/us/solutions/collateral/service-provider/visual-networking-index-vni/white_paper_c11-520862.html" TargetMode="External"/><Relationship Id="rId14" Type="http://schemas.openxmlformats.org/officeDocument/2006/relationships/hyperlink" Target="http://www.gsmamobileeconomy.com/GSMA_ME_Report_2014_R2_WEB.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oleObject" Target="file:///D:\&#25991;&#26723;&#36164;&#26009;\&#39033;&#30446;&#25991;&#26723;\02&#31639;&#27861;&#30740;&#31350;\15_5G_related\&#21442;&#32771;&#25991;&#29486;\Traffic\Traffic_results.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84"/>
          <c:w val="0.84293780985710121"/>
          <c:h val="0.63422572178477765"/>
        </c:manualLayout>
      </c:layout>
      <c:barChart>
        <c:barDir val="col"/>
        <c:grouping val="clustered"/>
        <c:varyColors val="0"/>
        <c:ser>
          <c:idx val="0"/>
          <c:order val="0"/>
          <c:tx>
            <c:strRef>
              <c:f>Sheet1!$B$1</c:f>
              <c:strCache>
                <c:ptCount val="1"/>
                <c:pt idx="0">
                  <c:v>Global</c:v>
                </c:pt>
              </c:strCache>
            </c:strRef>
          </c:tx>
          <c:invertIfNegative val="0"/>
          <c:dLbls>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10.747929621927398</c:v>
                </c:pt>
                <c:pt idx="1">
                  <c:v>11.338372145945398</c:v>
                </c:pt>
                <c:pt idx="2">
                  <c:v>11.937909559387426</c:v>
                </c:pt>
                <c:pt idx="3">
                  <c:v>12.546822227398678</c:v>
                </c:pt>
                <c:pt idx="4">
                  <c:v>13.165361642318748</c:v>
                </c:pt>
                <c:pt idx="5">
                  <c:v>13.793756032363326</c:v>
                </c:pt>
                <c:pt idx="6">
                  <c:v>14.432214700961252</c:v>
                </c:pt>
                <c:pt idx="7">
                  <c:v>15.080931426523119</c:v>
                </c:pt>
                <c:pt idx="8">
                  <c:v>15.740087156460428</c:v>
                </c:pt>
                <c:pt idx="9">
                  <c:v>16.409852164019895</c:v>
                </c:pt>
                <c:pt idx="10">
                  <c:v>17.09038779128489</c:v>
                </c:pt>
              </c:numCache>
            </c:numRef>
          </c:val>
        </c:ser>
        <c:dLbls>
          <c:showLegendKey val="0"/>
          <c:showVal val="0"/>
          <c:showCatName val="0"/>
          <c:showSerName val="0"/>
          <c:showPercent val="0"/>
          <c:showBubbleSize val="0"/>
        </c:dLbls>
        <c:gapWidth val="75"/>
        <c:axId val="652393120"/>
        <c:axId val="652392728"/>
      </c:barChart>
      <c:catAx>
        <c:axId val="652393120"/>
        <c:scaling>
          <c:orientation val="minMax"/>
        </c:scaling>
        <c:delete val="0"/>
        <c:axPos val="b"/>
        <c:numFmt formatCode="General" sourceLinked="1"/>
        <c:majorTickMark val="none"/>
        <c:minorTickMark val="none"/>
        <c:tickLblPos val="nextTo"/>
        <c:txPr>
          <a:bodyPr/>
          <a:lstStyle/>
          <a:p>
            <a:pPr>
              <a:defRPr lang="ja-JP"/>
            </a:pPr>
            <a:endParaRPr lang="en-US"/>
          </a:p>
        </c:txPr>
        <c:crossAx val="652392728"/>
        <c:crosses val="autoZero"/>
        <c:auto val="1"/>
        <c:lblAlgn val="ctr"/>
        <c:lblOffset val="100"/>
        <c:noMultiLvlLbl val="0"/>
      </c:catAx>
      <c:valAx>
        <c:axId val="652392728"/>
        <c:scaling>
          <c:orientation val="minMax"/>
        </c:scaling>
        <c:delete val="0"/>
        <c:axPos val="l"/>
        <c:majorGridlines/>
        <c:title>
          <c:tx>
            <c:rich>
              <a:bodyPr rot="-5400000" vert="horz"/>
              <a:lstStyle/>
              <a:p>
                <a:pPr>
                  <a:defRPr lang="ja-JP"/>
                </a:pPr>
                <a:r>
                  <a:rPr lang="en-US" altLang="zh-CN"/>
                  <a:t>Billion</a:t>
                </a:r>
                <a:endParaRPr lang="zh-CN" altLang="en-US"/>
              </a:p>
            </c:rich>
          </c:tx>
          <c:layout>
            <c:manualLayout>
              <c:xMode val="edge"/>
              <c:yMode val="edge"/>
              <c:x val="2.0833333333334012E-2"/>
              <c:y val="0.38361642294713238"/>
            </c:manualLayout>
          </c:layout>
          <c:overlay val="0"/>
        </c:title>
        <c:numFmt formatCode="0.0" sourceLinked="1"/>
        <c:majorTickMark val="none"/>
        <c:minorTickMark val="none"/>
        <c:tickLblPos val="nextTo"/>
        <c:spPr>
          <a:ln w="9525">
            <a:noFill/>
          </a:ln>
        </c:spPr>
        <c:txPr>
          <a:bodyPr/>
          <a:lstStyle/>
          <a:p>
            <a:pPr>
              <a:defRPr lang="ja-JP"/>
            </a:pPr>
            <a:endParaRPr lang="en-US"/>
          </a:p>
        </c:txPr>
        <c:crossAx val="65239312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8289"/>
          <c:w val="0.84293780985710121"/>
          <c:h val="0.63422572178477765"/>
        </c:manualLayout>
      </c:layout>
      <c:barChart>
        <c:barDir val="col"/>
        <c:grouping val="clustered"/>
        <c:varyColors val="0"/>
        <c:ser>
          <c:idx val="0"/>
          <c:order val="0"/>
          <c:tx>
            <c:strRef>
              <c:f>Sheet1!$B$1</c:f>
              <c:strCache>
                <c:ptCount val="1"/>
                <c:pt idx="0">
                  <c:v>China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2.2703127445677316</c:v>
                </c:pt>
                <c:pt idx="1">
                  <c:v>2.3889838835369712</c:v>
                </c:pt>
                <c:pt idx="2">
                  <c:v>2.4975444140019758</c:v>
                </c:pt>
                <c:pt idx="3">
                  <c:v>2.5958375446618391</c:v>
                </c:pt>
                <c:pt idx="4">
                  <c:v>2.684065382280167</c:v>
                </c:pt>
                <c:pt idx="5">
                  <c:v>2.7627017727831276</c:v>
                </c:pt>
                <c:pt idx="6">
                  <c:v>2.8324068862254528</c:v>
                </c:pt>
                <c:pt idx="7">
                  <c:v>2.8939515036524481</c:v>
                </c:pt>
                <c:pt idx="8">
                  <c:v>2.9481550904395939</c:v>
                </c:pt>
                <c:pt idx="9">
                  <c:v>2.9958386973513145</c:v>
                </c:pt>
                <c:pt idx="10">
                  <c:v>3.0377917168017259</c:v>
                </c:pt>
              </c:numCache>
            </c:numRef>
          </c:val>
        </c:ser>
        <c:dLbls>
          <c:showLegendKey val="0"/>
          <c:showVal val="0"/>
          <c:showCatName val="0"/>
          <c:showSerName val="0"/>
          <c:showPercent val="0"/>
          <c:showBubbleSize val="0"/>
        </c:dLbls>
        <c:gapWidth val="75"/>
        <c:axId val="708578520"/>
        <c:axId val="526758072"/>
      </c:barChart>
      <c:catAx>
        <c:axId val="708578520"/>
        <c:scaling>
          <c:orientation val="minMax"/>
        </c:scaling>
        <c:delete val="0"/>
        <c:axPos val="b"/>
        <c:numFmt formatCode="General" sourceLinked="1"/>
        <c:majorTickMark val="none"/>
        <c:minorTickMark val="none"/>
        <c:tickLblPos val="nextTo"/>
        <c:crossAx val="526758072"/>
        <c:crosses val="autoZero"/>
        <c:auto val="1"/>
        <c:lblAlgn val="ctr"/>
        <c:lblOffset val="100"/>
        <c:noMultiLvlLbl val="0"/>
      </c:catAx>
      <c:valAx>
        <c:axId val="526758072"/>
        <c:scaling>
          <c:orientation val="minMax"/>
        </c:scaling>
        <c:delete val="0"/>
        <c:axPos val="l"/>
        <c:majorGridlines/>
        <c:title>
          <c:tx>
            <c:rich>
              <a:bodyPr rot="-5400000" vert="horz"/>
              <a:lstStyle/>
              <a:p>
                <a:pPr>
                  <a:defRPr/>
                </a:pPr>
                <a:r>
                  <a:rPr lang="en-US" altLang="zh-CN"/>
                  <a:t>Billion</a:t>
                </a:r>
                <a:endParaRPr lang="zh-CN" altLang="en-US"/>
              </a:p>
            </c:rich>
          </c:tx>
          <c:layout>
            <c:manualLayout>
              <c:xMode val="edge"/>
              <c:yMode val="edge"/>
              <c:x val="2.0833333333333412E-2"/>
              <c:y val="0.38361642294713238"/>
            </c:manualLayout>
          </c:layout>
          <c:overlay val="0"/>
        </c:title>
        <c:numFmt formatCode="0.0" sourceLinked="1"/>
        <c:majorTickMark val="none"/>
        <c:minorTickMark val="none"/>
        <c:tickLblPos val="nextTo"/>
        <c:spPr>
          <a:ln w="9525">
            <a:noFill/>
          </a:ln>
        </c:spPr>
        <c:crossAx val="70857852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8048"/>
          <c:w val="0.84293780985710121"/>
          <c:h val="0.63422572178477765"/>
        </c:manualLayout>
      </c:layout>
      <c:barChart>
        <c:barDir val="col"/>
        <c:grouping val="clustered"/>
        <c:varyColors val="0"/>
        <c:ser>
          <c:idx val="0"/>
          <c:order val="0"/>
          <c:tx>
            <c:strRef>
              <c:f>Sheet1!$B$1</c:f>
              <c:strCache>
                <c:ptCount val="1"/>
                <c:pt idx="0">
                  <c:v>China</c:v>
                </c:pt>
              </c:strCache>
            </c:strRef>
          </c:tx>
          <c:invertIfNegative val="0"/>
          <c:dLbls>
            <c:spPr>
              <a:noFill/>
              <a:ln w="25393">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11.148809907515748</c:v>
                </c:pt>
                <c:pt idx="1">
                  <c:v>18.165595390245564</c:v>
                </c:pt>
                <c:pt idx="2">
                  <c:v>29.315440193989872</c:v>
                </c:pt>
                <c:pt idx="3">
                  <c:v>46.883990078730804</c:v>
                </c:pt>
                <c:pt idx="4">
                  <c:v>74.713167353538708</c:v>
                </c:pt>
                <c:pt idx="5">
                  <c:v>118.26259345091142</c:v>
                </c:pt>
                <c:pt idx="6">
                  <c:v>185.25491106801275</c:v>
                </c:pt>
                <c:pt idx="7">
                  <c:v>294.59982431317735</c:v>
                </c:pt>
                <c:pt idx="8">
                  <c:v>471.54171744626734</c:v>
                </c:pt>
                <c:pt idx="9">
                  <c:v>747.74450036078952</c:v>
                </c:pt>
                <c:pt idx="10">
                  <c:v>1186.8762829020357</c:v>
                </c:pt>
              </c:numCache>
            </c:numRef>
          </c:val>
        </c:ser>
        <c:dLbls>
          <c:showLegendKey val="0"/>
          <c:showVal val="0"/>
          <c:showCatName val="0"/>
          <c:showSerName val="0"/>
          <c:showPercent val="0"/>
          <c:showBubbleSize val="0"/>
        </c:dLbls>
        <c:gapWidth val="75"/>
        <c:axId val="526757680"/>
        <c:axId val="651586616"/>
      </c:barChart>
      <c:catAx>
        <c:axId val="526757680"/>
        <c:scaling>
          <c:orientation val="minMax"/>
        </c:scaling>
        <c:delete val="0"/>
        <c:axPos val="b"/>
        <c:numFmt formatCode="General" sourceLinked="1"/>
        <c:majorTickMark val="none"/>
        <c:minorTickMark val="none"/>
        <c:tickLblPos val="nextTo"/>
        <c:crossAx val="651586616"/>
        <c:crosses val="autoZero"/>
        <c:auto val="1"/>
        <c:lblAlgn val="ctr"/>
        <c:lblOffset val="100"/>
        <c:noMultiLvlLbl val="0"/>
      </c:catAx>
      <c:valAx>
        <c:axId val="65158661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EB</a:t>
                </a:r>
              </a:p>
            </c:rich>
          </c:tx>
          <c:layout>
            <c:manualLayout>
              <c:xMode val="edge"/>
              <c:yMode val="edge"/>
              <c:x val="1.3888873431457723E-2"/>
              <c:y val="0.38758481758047897"/>
            </c:manualLayout>
          </c:layout>
          <c:overlay val="0"/>
        </c:title>
        <c:numFmt formatCode="0" sourceLinked="1"/>
        <c:majorTickMark val="none"/>
        <c:minorTickMark val="none"/>
        <c:tickLblPos val="nextTo"/>
        <c:spPr>
          <a:ln w="9522">
            <a:noFill/>
          </a:ln>
        </c:spPr>
        <c:crossAx val="526757680"/>
        <c:crosses val="autoZero"/>
        <c:crossBetween val="between"/>
      </c:valAx>
    </c:plotArea>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7795"/>
          <c:w val="0.84293780985710121"/>
          <c:h val="0.63422572178477765"/>
        </c:manualLayout>
      </c:layout>
      <c:barChart>
        <c:barDir val="col"/>
        <c:grouping val="clustered"/>
        <c:varyColors val="0"/>
        <c:ser>
          <c:idx val="0"/>
          <c:order val="0"/>
          <c:tx>
            <c:strRef>
              <c:f>Sheet1!$B$1</c:f>
              <c:strCache>
                <c:ptCount val="1"/>
                <c:pt idx="0">
                  <c:v>China</c:v>
                </c:pt>
              </c:strCache>
            </c:strRef>
          </c:tx>
          <c:invertIfNegative val="0"/>
          <c:dLbls>
            <c:spPr>
              <a:noFill/>
              <a:ln w="2538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11.641271794702579</c:v>
                </c:pt>
                <c:pt idx="1">
                  <c:v>19.181097530516467</c:v>
                </c:pt>
                <c:pt idx="2">
                  <c:v>31.39922619653877</c:v>
                </c:pt>
                <c:pt idx="3">
                  <c:v>51.100920889309222</c:v>
                </c:pt>
                <c:pt idx="4">
                  <c:v>82.735100657091309</c:v>
                </c:pt>
                <c:pt idx="5">
                  <c:v>133.34483763641214</c:v>
                </c:pt>
                <c:pt idx="6">
                  <c:v>214.06385087122115</c:v>
                </c:pt>
                <c:pt idx="7">
                  <c:v>342.47149765939884</c:v>
                </c:pt>
                <c:pt idx="8">
                  <c:v>546.2972344195806</c:v>
                </c:pt>
                <c:pt idx="9">
                  <c:v>869.24578545469853</c:v>
                </c:pt>
                <c:pt idx="10">
                  <c:v>1380.1543313181339</c:v>
                </c:pt>
              </c:numCache>
            </c:numRef>
          </c:val>
        </c:ser>
        <c:dLbls>
          <c:showLegendKey val="0"/>
          <c:showVal val="0"/>
          <c:showCatName val="0"/>
          <c:showSerName val="0"/>
          <c:showPercent val="0"/>
          <c:showBubbleSize val="0"/>
        </c:dLbls>
        <c:gapWidth val="75"/>
        <c:axId val="651587400"/>
        <c:axId val="221657760"/>
      </c:barChart>
      <c:catAx>
        <c:axId val="651587400"/>
        <c:scaling>
          <c:orientation val="minMax"/>
        </c:scaling>
        <c:delete val="0"/>
        <c:axPos val="b"/>
        <c:numFmt formatCode="General" sourceLinked="1"/>
        <c:majorTickMark val="none"/>
        <c:minorTickMark val="none"/>
        <c:tickLblPos val="nextTo"/>
        <c:crossAx val="221657760"/>
        <c:crosses val="autoZero"/>
        <c:auto val="1"/>
        <c:lblAlgn val="ctr"/>
        <c:lblOffset val="100"/>
        <c:noMultiLvlLbl val="0"/>
      </c:catAx>
      <c:valAx>
        <c:axId val="221657760"/>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EB</a:t>
                </a:r>
              </a:p>
            </c:rich>
          </c:tx>
          <c:layout>
            <c:manualLayout>
              <c:xMode val="edge"/>
              <c:yMode val="edge"/>
              <c:x val="1.3888953219083471E-2"/>
              <c:y val="0.38758449424592867"/>
            </c:manualLayout>
          </c:layout>
          <c:overlay val="0"/>
        </c:title>
        <c:numFmt formatCode="0" sourceLinked="1"/>
        <c:majorTickMark val="none"/>
        <c:minorTickMark val="none"/>
        <c:tickLblPos val="nextTo"/>
        <c:spPr>
          <a:ln w="9518">
            <a:noFill/>
          </a:ln>
        </c:spPr>
        <c:crossAx val="651587400"/>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9644940217207"/>
          <c:y val="0.19743063367079144"/>
          <c:w val="0.83384058763490065"/>
          <c:h val="0.6075909261342336"/>
        </c:manualLayout>
      </c:layout>
      <c:barChart>
        <c:barDir val="col"/>
        <c:grouping val="clustered"/>
        <c:varyColors val="0"/>
        <c:ser>
          <c:idx val="0"/>
          <c:order val="0"/>
          <c:tx>
            <c:strRef>
              <c:f>Sheet1!$B$1</c:f>
              <c:strCache>
                <c:ptCount val="1"/>
                <c:pt idx="0">
                  <c:v>Data Traffic</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5.3144775170238345</c:v>
                </c:pt>
                <c:pt idx="1">
                  <c:v>8.0516155992397227</c:v>
                </c:pt>
                <c:pt idx="2">
                  <c:v>12.073728370536038</c:v>
                </c:pt>
                <c:pt idx="3">
                  <c:v>18.023505810178829</c:v>
                </c:pt>
                <c:pt idx="4">
                  <c:v>26.806695147529123</c:v>
                </c:pt>
                <c:pt idx="5">
                  <c:v>39.370853716659447</c:v>
                </c:pt>
                <c:pt idx="6">
                  <c:v>57.508229510089102</c:v>
                </c:pt>
                <c:pt idx="7">
                  <c:v>83.474978213422915</c:v>
                </c:pt>
                <c:pt idx="8">
                  <c:v>121.33091306484489</c:v>
                </c:pt>
                <c:pt idx="9">
                  <c:v>176.99818227572661</c:v>
                </c:pt>
                <c:pt idx="10">
                  <c:v>257.08063067833012</c:v>
                </c:pt>
              </c:numCache>
            </c:numRef>
          </c:val>
        </c:ser>
        <c:dLbls>
          <c:showLegendKey val="0"/>
          <c:showVal val="0"/>
          <c:showCatName val="0"/>
          <c:showSerName val="0"/>
          <c:showPercent val="0"/>
          <c:showBubbleSize val="0"/>
        </c:dLbls>
        <c:gapWidth val="75"/>
        <c:axId val="225395512"/>
        <c:axId val="225395120"/>
      </c:barChart>
      <c:catAx>
        <c:axId val="225395512"/>
        <c:scaling>
          <c:orientation val="minMax"/>
        </c:scaling>
        <c:delete val="0"/>
        <c:axPos val="b"/>
        <c:numFmt formatCode="General" sourceLinked="1"/>
        <c:majorTickMark val="none"/>
        <c:minorTickMark val="none"/>
        <c:tickLblPos val="nextTo"/>
        <c:crossAx val="225395120"/>
        <c:crosses val="autoZero"/>
        <c:auto val="1"/>
        <c:lblAlgn val="ctr"/>
        <c:lblOffset val="100"/>
        <c:noMultiLvlLbl val="0"/>
      </c:catAx>
      <c:valAx>
        <c:axId val="225395120"/>
        <c:scaling>
          <c:orientation val="minMax"/>
        </c:scaling>
        <c:delete val="0"/>
        <c:axPos val="l"/>
        <c:majorGridlines/>
        <c:title>
          <c:tx>
            <c:rich>
              <a:bodyPr rot="-5400000" vert="horz"/>
              <a:lstStyle/>
              <a:p>
                <a:pPr>
                  <a:defRPr/>
                </a:pPr>
                <a:r>
                  <a:rPr lang="en-US" altLang="zh-CN"/>
                  <a:t>GB</a:t>
                </a:r>
                <a:endParaRPr lang="zh-CN" altLang="en-US"/>
              </a:p>
            </c:rich>
          </c:tx>
          <c:layout>
            <c:manualLayout>
              <c:xMode val="edge"/>
              <c:yMode val="edge"/>
              <c:x val="1.8518518518518583E-2"/>
              <c:y val="0.46761798137371874"/>
            </c:manualLayout>
          </c:layout>
          <c:overlay val="0"/>
        </c:title>
        <c:numFmt formatCode="0.0" sourceLinked="1"/>
        <c:majorTickMark val="none"/>
        <c:minorTickMark val="none"/>
        <c:tickLblPos val="nextTo"/>
        <c:spPr>
          <a:ln w="9525">
            <a:noFill/>
          </a:ln>
        </c:spPr>
        <c:crossAx val="225395512"/>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3133158685977106"/>
          <c:y val="0.11620775221929459"/>
          <c:w val="0.81668484313362433"/>
          <c:h val="0.73139053093140804"/>
        </c:manualLayout>
      </c:layout>
      <c:barChart>
        <c:barDir val="col"/>
        <c:grouping val="clustered"/>
        <c:varyColors val="0"/>
        <c:ser>
          <c:idx val="0"/>
          <c:order val="0"/>
          <c:tx>
            <c:strRef>
              <c:f>Sheet1!$B$1</c:f>
              <c:strCache>
                <c:ptCount val="1"/>
                <c:pt idx="0">
                  <c:v>2020-2030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Shanghai,China</c:v>
                </c:pt>
                <c:pt idx="1">
                  <c:v>Xidan area,Beijing, China</c:v>
                </c:pt>
              </c:strCache>
            </c:strRef>
          </c:cat>
          <c:val>
            <c:numRef>
              <c:f>Sheet1!$B$2:$B$3</c:f>
              <c:numCache>
                <c:formatCode>General</c:formatCode>
                <c:ptCount val="2"/>
                <c:pt idx="0">
                  <c:v>125</c:v>
                </c:pt>
                <c:pt idx="1">
                  <c:v>154</c:v>
                </c:pt>
              </c:numCache>
            </c:numRef>
          </c:val>
        </c:ser>
        <c:dLbls>
          <c:showLegendKey val="0"/>
          <c:showVal val="1"/>
          <c:showCatName val="0"/>
          <c:showSerName val="0"/>
          <c:showPercent val="0"/>
          <c:showBubbleSize val="0"/>
        </c:dLbls>
        <c:gapWidth val="200"/>
        <c:axId val="528216520"/>
        <c:axId val="170252200"/>
      </c:barChart>
      <c:catAx>
        <c:axId val="528216520"/>
        <c:scaling>
          <c:orientation val="minMax"/>
        </c:scaling>
        <c:delete val="0"/>
        <c:axPos val="b"/>
        <c:numFmt formatCode="General" sourceLinked="0"/>
        <c:majorTickMark val="none"/>
        <c:minorTickMark val="none"/>
        <c:tickLblPos val="nextTo"/>
        <c:crossAx val="170252200"/>
        <c:crosses val="autoZero"/>
        <c:auto val="1"/>
        <c:lblAlgn val="ctr"/>
        <c:lblOffset val="100"/>
        <c:noMultiLvlLbl val="0"/>
      </c:catAx>
      <c:valAx>
        <c:axId val="170252200"/>
        <c:scaling>
          <c:orientation val="minMax"/>
        </c:scaling>
        <c:delete val="0"/>
        <c:axPos val="l"/>
        <c:majorGridlines/>
        <c:numFmt formatCode="General" sourceLinked="1"/>
        <c:majorTickMark val="none"/>
        <c:minorTickMark val="none"/>
        <c:tickLblPos val="nextTo"/>
        <c:crossAx val="52821652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Sheet1!$B$51</c:f>
              <c:strCache>
                <c:ptCount val="1"/>
                <c:pt idx="0">
                  <c:v>Subscriber ratio</c:v>
                </c:pt>
              </c:strCache>
            </c:strRef>
          </c:tx>
          <c:invertIfNegative val="0"/>
          <c:cat>
            <c:strRef>
              <c:f>Sheet1!$A$52:$A$60</c:f>
              <c:strCache>
                <c:ptCount val="9"/>
                <c:pt idx="0">
                  <c:v>0-1 K</c:v>
                </c:pt>
                <c:pt idx="1">
                  <c:v>1K - 10K</c:v>
                </c:pt>
                <c:pt idx="2">
                  <c:v>10K - 50K</c:v>
                </c:pt>
                <c:pt idx="3">
                  <c:v>50K - 100K</c:v>
                </c:pt>
                <c:pt idx="4">
                  <c:v>100K - 200K</c:v>
                </c:pt>
                <c:pt idx="5">
                  <c:v>200K - 500K</c:v>
                </c:pt>
                <c:pt idx="6">
                  <c:v>500K - 1M</c:v>
                </c:pt>
                <c:pt idx="7">
                  <c:v>1M - 10M</c:v>
                </c:pt>
                <c:pt idx="8">
                  <c:v>&gt; 10M</c:v>
                </c:pt>
              </c:strCache>
            </c:strRef>
          </c:cat>
          <c:val>
            <c:numRef>
              <c:f>Sheet1!$B$52:$B$60</c:f>
              <c:numCache>
                <c:formatCode>0.0%</c:formatCode>
                <c:ptCount val="9"/>
                <c:pt idx="0">
                  <c:v>0.17169999999999999</c:v>
                </c:pt>
                <c:pt idx="1">
                  <c:v>0.32700000000001189</c:v>
                </c:pt>
                <c:pt idx="2">
                  <c:v>0.28060000000000002</c:v>
                </c:pt>
                <c:pt idx="3">
                  <c:v>6.4900000000000013E-2</c:v>
                </c:pt>
                <c:pt idx="4">
                  <c:v>5.5700000000000034E-2</c:v>
                </c:pt>
                <c:pt idx="5">
                  <c:v>5.5199999999999999E-2</c:v>
                </c:pt>
                <c:pt idx="6">
                  <c:v>2.3199999999999988E-2</c:v>
                </c:pt>
                <c:pt idx="7">
                  <c:v>2.0900000000000002E-2</c:v>
                </c:pt>
                <c:pt idx="8">
                  <c:v>7.0000000000002124E-4</c:v>
                </c:pt>
              </c:numCache>
            </c:numRef>
          </c:val>
        </c:ser>
        <c:ser>
          <c:idx val="1"/>
          <c:order val="1"/>
          <c:tx>
            <c:strRef>
              <c:f>Sheet1!$C$51</c:f>
              <c:strCache>
                <c:ptCount val="1"/>
                <c:pt idx="0">
                  <c:v>Traffic ratio</c:v>
                </c:pt>
              </c:strCache>
            </c:strRef>
          </c:tx>
          <c:invertIfNegative val="0"/>
          <c:cat>
            <c:strRef>
              <c:f>Sheet1!$A$52:$A$60</c:f>
              <c:strCache>
                <c:ptCount val="9"/>
                <c:pt idx="0">
                  <c:v>0-1 K</c:v>
                </c:pt>
                <c:pt idx="1">
                  <c:v>1K - 10K</c:v>
                </c:pt>
                <c:pt idx="2">
                  <c:v>10K - 50K</c:v>
                </c:pt>
                <c:pt idx="3">
                  <c:v>50K - 100K</c:v>
                </c:pt>
                <c:pt idx="4">
                  <c:v>100K - 200K</c:v>
                </c:pt>
                <c:pt idx="5">
                  <c:v>200K - 500K</c:v>
                </c:pt>
                <c:pt idx="6">
                  <c:v>500K - 1M</c:v>
                </c:pt>
                <c:pt idx="7">
                  <c:v>1M - 10M</c:v>
                </c:pt>
                <c:pt idx="8">
                  <c:v>&gt; 10M</c:v>
                </c:pt>
              </c:strCache>
            </c:strRef>
          </c:cat>
          <c:val>
            <c:numRef>
              <c:f>Sheet1!$C$52:$C$60</c:f>
              <c:numCache>
                <c:formatCode>0.0%</c:formatCode>
                <c:ptCount val="9"/>
                <c:pt idx="0">
                  <c:v>3.0000000000001092E-4</c:v>
                </c:pt>
                <c:pt idx="1">
                  <c:v>1.2999999999999998E-2</c:v>
                </c:pt>
                <c:pt idx="2">
                  <c:v>5.4600000000000003E-2</c:v>
                </c:pt>
                <c:pt idx="3">
                  <c:v>3.960000000000001E-2</c:v>
                </c:pt>
                <c:pt idx="4">
                  <c:v>6.8300000000000013E-2</c:v>
                </c:pt>
                <c:pt idx="5">
                  <c:v>0.14920000000000044</c:v>
                </c:pt>
                <c:pt idx="6">
                  <c:v>0.1386</c:v>
                </c:pt>
                <c:pt idx="7">
                  <c:v>0.37860000000000038</c:v>
                </c:pt>
                <c:pt idx="8">
                  <c:v>0.15790000000000687</c:v>
                </c:pt>
              </c:numCache>
            </c:numRef>
          </c:val>
        </c:ser>
        <c:dLbls>
          <c:showLegendKey val="0"/>
          <c:showVal val="0"/>
          <c:showCatName val="0"/>
          <c:showSerName val="0"/>
          <c:showPercent val="0"/>
          <c:showBubbleSize val="0"/>
        </c:dLbls>
        <c:gapWidth val="300"/>
        <c:axId val="170251808"/>
        <c:axId val="227693648"/>
      </c:barChart>
      <c:catAx>
        <c:axId val="170251808"/>
        <c:scaling>
          <c:orientation val="minMax"/>
        </c:scaling>
        <c:delete val="0"/>
        <c:axPos val="b"/>
        <c:title>
          <c:tx>
            <c:rich>
              <a:bodyPr/>
              <a:lstStyle/>
              <a:p>
                <a:pPr>
                  <a:defRPr/>
                </a:pPr>
                <a:r>
                  <a:rPr lang="en-US" altLang="zh-CN"/>
                  <a:t>Traffic</a:t>
                </a:r>
                <a:r>
                  <a:rPr lang="en-US" altLang="zh-CN" baseline="0"/>
                  <a:t> in busy hour (Byte)</a:t>
                </a:r>
                <a:endParaRPr lang="zh-CN" altLang="en-US"/>
              </a:p>
            </c:rich>
          </c:tx>
          <c:layout/>
          <c:overlay val="0"/>
        </c:title>
        <c:numFmt formatCode="General" sourceLinked="0"/>
        <c:majorTickMark val="none"/>
        <c:minorTickMark val="none"/>
        <c:tickLblPos val="nextTo"/>
        <c:crossAx val="227693648"/>
        <c:crosses val="autoZero"/>
        <c:auto val="1"/>
        <c:lblAlgn val="ctr"/>
        <c:lblOffset val="100"/>
        <c:noMultiLvlLbl val="0"/>
      </c:catAx>
      <c:valAx>
        <c:axId val="227693648"/>
        <c:scaling>
          <c:orientation val="minMax"/>
        </c:scaling>
        <c:delete val="0"/>
        <c:axPos val="l"/>
        <c:majorGridlines/>
        <c:minorGridlines/>
        <c:title>
          <c:tx>
            <c:rich>
              <a:bodyPr/>
              <a:lstStyle/>
              <a:p>
                <a:pPr>
                  <a:defRPr/>
                </a:pPr>
                <a:r>
                  <a:rPr lang="en-US" altLang="zh-CN"/>
                  <a:t>Ratio</a:t>
                </a:r>
                <a:endParaRPr lang="zh-CN" altLang="en-US"/>
              </a:p>
            </c:rich>
          </c:tx>
          <c:layout/>
          <c:overlay val="0"/>
        </c:title>
        <c:numFmt formatCode="0.0%" sourceLinked="1"/>
        <c:majorTickMark val="out"/>
        <c:minorTickMark val="none"/>
        <c:tickLblPos val="nextTo"/>
        <c:crossAx val="170251808"/>
        <c:crosses val="autoZero"/>
        <c:crossBetween val="between"/>
      </c:valAx>
    </c:plotArea>
    <c:legend>
      <c:legendPos val="r"/>
      <c:layout/>
      <c:overlay val="0"/>
    </c:legend>
    <c:plotVisOnly val="1"/>
    <c:dispBlanksAs val="gap"/>
    <c:showDLblsOverMax val="0"/>
  </c:chart>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1735915671531"/>
          <c:y val="9.6429459411045124E-2"/>
          <c:w val="0.84687314571115457"/>
          <c:h val="0.66141940437622582"/>
        </c:manualLayout>
      </c:layout>
      <c:barChart>
        <c:barDir val="col"/>
        <c:grouping val="stacked"/>
        <c:varyColors val="0"/>
        <c:ser>
          <c:idx val="0"/>
          <c:order val="0"/>
          <c:tx>
            <c:strRef>
              <c:f>Sheet1!$B$1</c:f>
              <c:strCache>
                <c:ptCount val="1"/>
                <c:pt idx="0">
                  <c:v>Smartphone</c:v>
                </c:pt>
              </c:strCache>
            </c:strRef>
          </c:tx>
          <c:invertIfNegative val="0"/>
          <c:dLbls>
            <c:numFmt formatCode="#,##0.0" sourceLinked="0"/>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6.2632390055882414</c:v>
                </c:pt>
                <c:pt idx="1">
                  <c:v>7.0432980458024534</c:v>
                </c:pt>
                <c:pt idx="2">
                  <c:v>7.7919228176617965</c:v>
                </c:pt>
                <c:pt idx="3">
                  <c:v>8.8178982567060267</c:v>
                </c:pt>
                <c:pt idx="4">
                  <c:v>9.7896454335104384</c:v>
                </c:pt>
                <c:pt idx="5">
                  <c:v>10.439391300007351</c:v>
                </c:pt>
                <c:pt idx="6">
                  <c:v>11.016620425019708</c:v>
                </c:pt>
                <c:pt idx="7">
                  <c:v>11.340702075537116</c:v>
                </c:pt>
                <c:pt idx="8">
                  <c:v>11.625492536625469</c:v>
                </c:pt>
                <c:pt idx="9">
                  <c:v>11.890217190071468</c:v>
                </c:pt>
                <c:pt idx="10">
                  <c:v>12.136237766070048</c:v>
                </c:pt>
              </c:numCache>
            </c:numRef>
          </c:val>
        </c:ser>
        <c:ser>
          <c:idx val="1"/>
          <c:order val="1"/>
          <c:tx>
            <c:strRef>
              <c:f>Sheet1!$C$1</c:f>
              <c:strCache>
                <c:ptCount val="1"/>
                <c:pt idx="0">
                  <c:v>Tablet and other smart devices</c:v>
                </c:pt>
              </c:strCache>
            </c:strRef>
          </c:tx>
          <c:invertIfNegative val="0"/>
          <c:dLbls>
            <c:numFmt formatCode="#,##0.0" sourceLinked="0"/>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Sheet1!$C$2:$C$12</c:f>
              <c:numCache>
                <c:formatCode>0</c:formatCode>
                <c:ptCount val="11"/>
                <c:pt idx="0">
                  <c:v>1.2628156871558818</c:v>
                </c:pt>
                <c:pt idx="1">
                  <c:v>1.5197889068291639</c:v>
                </c:pt>
                <c:pt idx="2">
                  <c:v>1.8015897848838405</c:v>
                </c:pt>
                <c:pt idx="3">
                  <c:v>2.1865813889956618</c:v>
                </c:pt>
                <c:pt idx="4">
                  <c:v>2.6051141894602536</c:v>
                </c:pt>
                <c:pt idx="5">
                  <c:v>2.9824682588803846</c:v>
                </c:pt>
                <c:pt idx="6">
                  <c:v>3.3798936521043039</c:v>
                </c:pt>
                <c:pt idx="7">
                  <c:v>3.7368712881030541</c:v>
                </c:pt>
                <c:pt idx="8">
                  <c:v>4.1144367128813055</c:v>
                </c:pt>
                <c:pt idx="9">
                  <c:v>4.5196349739483717</c:v>
                </c:pt>
                <c:pt idx="10">
                  <c:v>4.9541500252148314</c:v>
                </c:pt>
              </c:numCache>
            </c:numRef>
          </c:val>
        </c:ser>
        <c:ser>
          <c:idx val="2"/>
          <c:order val="2"/>
          <c:tx>
            <c:strRef>
              <c:f>Sheet1!$D$1</c:f>
              <c:strCache>
                <c:ptCount val="1"/>
                <c:pt idx="0">
                  <c:v>Feature phone</c:v>
                </c:pt>
              </c:strCache>
            </c:strRef>
          </c:tx>
          <c:invertIfNegative val="0"/>
          <c:dLbls>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numFmt formatCode="#,##0.0" sourceLinked="0"/>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Sheet1!$D$2:$D$12</c:f>
              <c:numCache>
                <c:formatCode>0</c:formatCode>
                <c:ptCount val="11"/>
                <c:pt idx="0">
                  <c:v>3.2218749291833997</c:v>
                </c:pt>
                <c:pt idx="1">
                  <c:v>2.7752851933139531</c:v>
                </c:pt>
                <c:pt idx="2">
                  <c:v>2.3443969568416052</c:v>
                </c:pt>
                <c:pt idx="3">
                  <c:v>1.5423425816971801</c:v>
                </c:pt>
                <c:pt idx="4">
                  <c:v>0.77060201934807204</c:v>
                </c:pt>
                <c:pt idx="5">
                  <c:v>0.37189647347549443</c:v>
                </c:pt>
                <c:pt idx="6">
                  <c:v>3.5700623837240479E-2</c:v>
                </c:pt>
                <c:pt idx="7">
                  <c:v>3.3580628829534809E-3</c:v>
                </c:pt>
                <c:pt idx="8">
                  <c:v>1.5790695403870687E-4</c:v>
                </c:pt>
                <c:pt idx="9">
                  <c:v>0</c:v>
                </c:pt>
                <c:pt idx="10">
                  <c:v>0</c:v>
                </c:pt>
              </c:numCache>
            </c:numRef>
          </c:val>
        </c:ser>
        <c:dLbls>
          <c:showLegendKey val="0"/>
          <c:showVal val="0"/>
          <c:showCatName val="0"/>
          <c:showSerName val="0"/>
          <c:showPercent val="0"/>
          <c:showBubbleSize val="0"/>
        </c:dLbls>
        <c:gapWidth val="75"/>
        <c:overlap val="100"/>
        <c:axId val="652391944"/>
        <c:axId val="652391552"/>
      </c:barChart>
      <c:catAx>
        <c:axId val="652391944"/>
        <c:scaling>
          <c:orientation val="minMax"/>
        </c:scaling>
        <c:delete val="0"/>
        <c:axPos val="b"/>
        <c:numFmt formatCode="General" sourceLinked="1"/>
        <c:majorTickMark val="none"/>
        <c:minorTickMark val="none"/>
        <c:tickLblPos val="nextTo"/>
        <c:txPr>
          <a:bodyPr/>
          <a:lstStyle/>
          <a:p>
            <a:pPr>
              <a:defRPr lang="ja-JP"/>
            </a:pPr>
            <a:endParaRPr lang="en-US"/>
          </a:p>
        </c:txPr>
        <c:crossAx val="652391552"/>
        <c:crosses val="autoZero"/>
        <c:auto val="1"/>
        <c:lblAlgn val="ctr"/>
        <c:lblOffset val="100"/>
        <c:noMultiLvlLbl val="0"/>
      </c:catAx>
      <c:valAx>
        <c:axId val="652391552"/>
        <c:scaling>
          <c:orientation val="minMax"/>
        </c:scaling>
        <c:delete val="0"/>
        <c:axPos val="l"/>
        <c:majorGridlines/>
        <c:title>
          <c:tx>
            <c:rich>
              <a:bodyPr rot="-5400000" vert="horz"/>
              <a:lstStyle/>
              <a:p>
                <a:pPr>
                  <a:defRPr lang="ja-JP"/>
                </a:pPr>
                <a:r>
                  <a:rPr lang="en-US" altLang="zh-CN"/>
                  <a:t>Billion </a:t>
                </a:r>
                <a:endParaRPr lang="zh-CN" altLang="en-US"/>
              </a:p>
            </c:rich>
          </c:tx>
          <c:layout>
            <c:manualLayout>
              <c:xMode val="edge"/>
              <c:yMode val="edge"/>
              <c:x val="2.0853418356417412E-2"/>
              <c:y val="0.29943479214336288"/>
            </c:manualLayout>
          </c:layout>
          <c:overlay val="0"/>
        </c:title>
        <c:numFmt formatCode="0" sourceLinked="1"/>
        <c:majorTickMark val="none"/>
        <c:minorTickMark val="none"/>
        <c:tickLblPos val="nextTo"/>
        <c:spPr>
          <a:ln w="9525">
            <a:noFill/>
          </a:ln>
        </c:spPr>
        <c:txPr>
          <a:bodyPr/>
          <a:lstStyle/>
          <a:p>
            <a:pPr>
              <a:defRPr lang="ja-JP"/>
            </a:pPr>
            <a:endParaRPr lang="en-US"/>
          </a:p>
        </c:txPr>
        <c:crossAx val="652391944"/>
        <c:crosses val="autoZero"/>
        <c:crossBetween val="between"/>
      </c:valAx>
    </c:plotArea>
    <c:legend>
      <c:legendPos val="b"/>
      <c:layout/>
      <c:overlay val="0"/>
      <c:txPr>
        <a:bodyPr/>
        <a:lstStyle/>
        <a:p>
          <a:pPr>
            <a:defRPr lang="ja-JP"/>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1735915671434"/>
          <c:y val="9.6429459411045124E-2"/>
          <c:w val="0.84687314571115457"/>
          <c:h val="0.66141940437622582"/>
        </c:manualLayout>
      </c:layout>
      <c:barChart>
        <c:barDir val="col"/>
        <c:grouping val="stacked"/>
        <c:varyColors val="0"/>
        <c:ser>
          <c:idx val="0"/>
          <c:order val="0"/>
          <c:tx>
            <c:strRef>
              <c:f>Sheet1!$B$1</c:f>
              <c:strCache>
                <c:ptCount val="1"/>
                <c:pt idx="0">
                  <c:v>M2M Subscriptions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7.1613378669313645</c:v>
                </c:pt>
                <c:pt idx="1">
                  <c:v>10.007881558904852</c:v>
                </c:pt>
                <c:pt idx="2">
                  <c:v>13.874496284981756</c:v>
                </c:pt>
                <c:pt idx="3">
                  <c:v>19.03264142240554</c:v>
                </c:pt>
                <c:pt idx="4">
                  <c:v>25.752458384105889</c:v>
                </c:pt>
                <c:pt idx="5">
                  <c:v>34.244668588195751</c:v>
                </c:pt>
                <c:pt idx="6">
                  <c:v>44.578768759274595</c:v>
                </c:pt>
                <c:pt idx="7">
                  <c:v>56.598788584184113</c:v>
                </c:pt>
                <c:pt idx="8">
                  <c:v>69.877628489496843</c:v>
                </c:pt>
                <c:pt idx="9">
                  <c:v>83.752138655371184</c:v>
                </c:pt>
                <c:pt idx="10">
                  <c:v>97.448704265068727</c:v>
                </c:pt>
              </c:numCache>
            </c:numRef>
          </c:val>
        </c:ser>
        <c:dLbls>
          <c:showLegendKey val="0"/>
          <c:showVal val="0"/>
          <c:showCatName val="0"/>
          <c:showSerName val="0"/>
          <c:showPercent val="0"/>
          <c:showBubbleSize val="0"/>
        </c:dLbls>
        <c:gapWidth val="75"/>
        <c:overlap val="100"/>
        <c:axId val="652391160"/>
        <c:axId val="652389984"/>
      </c:barChart>
      <c:catAx>
        <c:axId val="652391160"/>
        <c:scaling>
          <c:orientation val="minMax"/>
        </c:scaling>
        <c:delete val="0"/>
        <c:axPos val="b"/>
        <c:numFmt formatCode="General" sourceLinked="1"/>
        <c:majorTickMark val="none"/>
        <c:minorTickMark val="none"/>
        <c:tickLblPos val="nextTo"/>
        <c:crossAx val="652389984"/>
        <c:crosses val="autoZero"/>
        <c:auto val="1"/>
        <c:lblAlgn val="ctr"/>
        <c:lblOffset val="100"/>
        <c:noMultiLvlLbl val="0"/>
      </c:catAx>
      <c:valAx>
        <c:axId val="652389984"/>
        <c:scaling>
          <c:orientation val="minMax"/>
        </c:scaling>
        <c:delete val="0"/>
        <c:axPos val="l"/>
        <c:majorGridlines/>
        <c:title>
          <c:tx>
            <c:rich>
              <a:bodyPr rot="-5400000" vert="horz"/>
              <a:lstStyle/>
              <a:p>
                <a:pPr>
                  <a:defRPr/>
                </a:pPr>
                <a:r>
                  <a:rPr lang="en-US" altLang="zh-CN"/>
                  <a:t>Billion </a:t>
                </a:r>
                <a:endParaRPr lang="zh-CN" altLang="en-US"/>
              </a:p>
            </c:rich>
          </c:tx>
          <c:layout>
            <c:manualLayout>
              <c:xMode val="edge"/>
              <c:yMode val="edge"/>
              <c:x val="2.0853418356417356E-2"/>
              <c:y val="0.29943479214336288"/>
            </c:manualLayout>
          </c:layout>
          <c:overlay val="0"/>
        </c:title>
        <c:numFmt formatCode="0" sourceLinked="1"/>
        <c:majorTickMark val="none"/>
        <c:minorTickMark val="none"/>
        <c:tickLblPos val="nextTo"/>
        <c:spPr>
          <a:ln w="9525">
            <a:noFill/>
          </a:ln>
        </c:spPr>
        <c:crossAx val="65239116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7956"/>
          <c:w val="0.84293780985710121"/>
          <c:h val="0.63422572178477765"/>
        </c:manualLayout>
      </c:layout>
      <c:barChart>
        <c:barDir val="col"/>
        <c:grouping val="clustered"/>
        <c:varyColors val="0"/>
        <c:ser>
          <c:idx val="0"/>
          <c:order val="0"/>
          <c:tx>
            <c:strRef>
              <c:f>Sheet1!$B$1</c:f>
              <c:strCache>
                <c:ptCount val="1"/>
                <c:pt idx="0">
                  <c:v>Global</c:v>
                </c:pt>
              </c:strCache>
            </c:strRef>
          </c:tx>
          <c:invertIfNegative val="0"/>
          <c:dLbls>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57.119630330288558</c:v>
                </c:pt>
                <c:pt idx="1">
                  <c:v>91.292214040280427</c:v>
                </c:pt>
                <c:pt idx="2">
                  <c:v>144.13507733206714</c:v>
                </c:pt>
                <c:pt idx="3">
                  <c:v>226.13772331480118</c:v>
                </c:pt>
                <c:pt idx="4">
                  <c:v>352.91983605261169</c:v>
                </c:pt>
                <c:pt idx="5">
                  <c:v>543.07195095346151</c:v>
                </c:pt>
                <c:pt idx="6">
                  <c:v>829.97111536176158</c:v>
                </c:pt>
                <c:pt idx="7">
                  <c:v>1258.8804222672748</c:v>
                </c:pt>
                <c:pt idx="8">
                  <c:v>1909.7591464135808</c:v>
                </c:pt>
                <c:pt idx="9">
                  <c:v>2904.5140044449131</c:v>
                </c:pt>
                <c:pt idx="10">
                  <c:v>4393.6076719207504</c:v>
                </c:pt>
              </c:numCache>
            </c:numRef>
          </c:val>
        </c:ser>
        <c:dLbls>
          <c:showLegendKey val="0"/>
          <c:showVal val="0"/>
          <c:showCatName val="0"/>
          <c:showSerName val="0"/>
          <c:showPercent val="0"/>
          <c:showBubbleSize val="0"/>
        </c:dLbls>
        <c:gapWidth val="75"/>
        <c:axId val="708579696"/>
        <c:axId val="708579304"/>
      </c:barChart>
      <c:catAx>
        <c:axId val="708579696"/>
        <c:scaling>
          <c:orientation val="minMax"/>
        </c:scaling>
        <c:delete val="0"/>
        <c:axPos val="b"/>
        <c:numFmt formatCode="General" sourceLinked="1"/>
        <c:majorTickMark val="none"/>
        <c:minorTickMark val="none"/>
        <c:tickLblPos val="nextTo"/>
        <c:txPr>
          <a:bodyPr/>
          <a:lstStyle/>
          <a:p>
            <a:pPr>
              <a:defRPr lang="ja-JP"/>
            </a:pPr>
            <a:endParaRPr lang="en-US"/>
          </a:p>
        </c:txPr>
        <c:crossAx val="708579304"/>
        <c:crosses val="autoZero"/>
        <c:auto val="1"/>
        <c:lblAlgn val="ctr"/>
        <c:lblOffset val="100"/>
        <c:noMultiLvlLbl val="0"/>
      </c:catAx>
      <c:valAx>
        <c:axId val="708579304"/>
        <c:scaling>
          <c:orientation val="minMax"/>
        </c:scaling>
        <c:delete val="0"/>
        <c:axPos val="l"/>
        <c:majorGridlines/>
        <c:title>
          <c:tx>
            <c:rich>
              <a:bodyPr rot="-5400000" vert="horz"/>
              <a:lstStyle/>
              <a:p>
                <a:pPr>
                  <a:defRPr lang="ja-JP"/>
                </a:pPr>
                <a:r>
                  <a:rPr lang="en-US" altLang="zh-CN"/>
                  <a:t>EB</a:t>
                </a:r>
                <a:endParaRPr lang="zh-CN" altLang="en-US"/>
              </a:p>
            </c:rich>
          </c:tx>
          <c:layout>
            <c:manualLayout>
              <c:xMode val="edge"/>
              <c:yMode val="edge"/>
              <c:x val="1.3888888888889863E-2"/>
              <c:y val="0.3875846769154272"/>
            </c:manualLayout>
          </c:layout>
          <c:overlay val="0"/>
        </c:title>
        <c:numFmt formatCode="0" sourceLinked="1"/>
        <c:majorTickMark val="none"/>
        <c:minorTickMark val="none"/>
        <c:tickLblPos val="nextTo"/>
        <c:spPr>
          <a:ln w="9525">
            <a:noFill/>
          </a:ln>
        </c:spPr>
        <c:txPr>
          <a:bodyPr/>
          <a:lstStyle/>
          <a:p>
            <a:pPr>
              <a:defRPr lang="ja-JP"/>
            </a:pPr>
            <a:endParaRPr lang="en-US"/>
          </a:p>
        </c:txPr>
        <c:crossAx val="708579696"/>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59922717993591"/>
          <c:y val="0.16976534233918031"/>
          <c:w val="0.84293780985710121"/>
          <c:h val="0.63422572178477765"/>
        </c:manualLayout>
      </c:layout>
      <c:barChart>
        <c:barDir val="col"/>
        <c:grouping val="clustered"/>
        <c:varyColors val="0"/>
        <c:ser>
          <c:idx val="0"/>
          <c:order val="0"/>
          <c:tx>
            <c:strRef>
              <c:f>Sheet1!$B$1</c:f>
              <c:strCache>
                <c:ptCount val="1"/>
                <c:pt idx="0">
                  <c:v>Global</c:v>
                </c:pt>
              </c:strCache>
            </c:strRef>
          </c:tx>
          <c:invertIfNegative val="0"/>
          <c:dLbls>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61.677273976376007</c:v>
                </c:pt>
                <c:pt idx="1">
                  <c:v>99.113753402674249</c:v>
                </c:pt>
                <c:pt idx="2">
                  <c:v>157.83187817847607</c:v>
                </c:pt>
                <c:pt idx="3">
                  <c:v>249.22290262294936</c:v>
                </c:pt>
                <c:pt idx="4">
                  <c:v>390.44554475282865</c:v>
                </c:pt>
                <c:pt idx="5">
                  <c:v>607.19913330367353</c:v>
                </c:pt>
                <c:pt idx="6">
                  <c:v>937.76746659993046</c:v>
                </c:pt>
                <c:pt idx="7">
                  <c:v>1438.88997810776</c:v>
                </c:pt>
                <c:pt idx="8">
                  <c:v>2194.2504881485493</c:v>
                </c:pt>
                <c:pt idx="9">
                  <c:v>3326.7017759135551</c:v>
                </c:pt>
                <c:pt idx="10">
                  <c:v>5015.80305025697</c:v>
                </c:pt>
              </c:numCache>
            </c:numRef>
          </c:val>
        </c:ser>
        <c:dLbls>
          <c:showLegendKey val="0"/>
          <c:showVal val="0"/>
          <c:showCatName val="0"/>
          <c:showSerName val="0"/>
          <c:showPercent val="0"/>
          <c:showBubbleSize val="0"/>
        </c:dLbls>
        <c:gapWidth val="75"/>
        <c:axId val="708578128"/>
        <c:axId val="708577736"/>
      </c:barChart>
      <c:catAx>
        <c:axId val="708578128"/>
        <c:scaling>
          <c:orientation val="minMax"/>
        </c:scaling>
        <c:delete val="0"/>
        <c:axPos val="b"/>
        <c:numFmt formatCode="General" sourceLinked="1"/>
        <c:majorTickMark val="none"/>
        <c:minorTickMark val="none"/>
        <c:tickLblPos val="nextTo"/>
        <c:txPr>
          <a:bodyPr/>
          <a:lstStyle/>
          <a:p>
            <a:pPr>
              <a:defRPr lang="ja-JP"/>
            </a:pPr>
            <a:endParaRPr lang="en-US"/>
          </a:p>
        </c:txPr>
        <c:crossAx val="708577736"/>
        <c:crosses val="autoZero"/>
        <c:auto val="1"/>
        <c:lblAlgn val="ctr"/>
        <c:lblOffset val="100"/>
        <c:noMultiLvlLbl val="0"/>
      </c:catAx>
      <c:valAx>
        <c:axId val="708577736"/>
        <c:scaling>
          <c:orientation val="minMax"/>
        </c:scaling>
        <c:delete val="0"/>
        <c:axPos val="l"/>
        <c:majorGridlines/>
        <c:title>
          <c:tx>
            <c:rich>
              <a:bodyPr rot="-5400000" vert="horz"/>
              <a:lstStyle/>
              <a:p>
                <a:pPr>
                  <a:defRPr lang="ja-JP"/>
                </a:pPr>
                <a:r>
                  <a:rPr lang="en-US" altLang="zh-CN"/>
                  <a:t>EB</a:t>
                </a:r>
                <a:endParaRPr lang="zh-CN" altLang="en-US"/>
              </a:p>
            </c:rich>
          </c:tx>
          <c:layout>
            <c:manualLayout>
              <c:xMode val="edge"/>
              <c:yMode val="edge"/>
              <c:x val="1.3888888888889931E-2"/>
              <c:y val="0.38758467691543036"/>
            </c:manualLayout>
          </c:layout>
          <c:overlay val="0"/>
        </c:title>
        <c:numFmt formatCode="0" sourceLinked="1"/>
        <c:majorTickMark val="none"/>
        <c:minorTickMark val="none"/>
        <c:tickLblPos val="nextTo"/>
        <c:spPr>
          <a:ln w="9525">
            <a:noFill/>
          </a:ln>
        </c:spPr>
        <c:txPr>
          <a:bodyPr/>
          <a:lstStyle/>
          <a:p>
            <a:pPr>
              <a:defRPr lang="ja-JP"/>
            </a:pPr>
            <a:endParaRPr lang="en-US"/>
          </a:p>
        </c:txPr>
        <c:crossAx val="708578128"/>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7510494326802"/>
          <c:y val="0.18991930523986869"/>
          <c:w val="0.77229557279104899"/>
          <c:h val="0.55697245526740169"/>
        </c:manualLayout>
      </c:layout>
      <c:areaChart>
        <c:grouping val="stacked"/>
        <c:varyColors val="0"/>
        <c:ser>
          <c:idx val="0"/>
          <c:order val="0"/>
          <c:tx>
            <c:strRef>
              <c:f>Sheet1!$B$1</c:f>
              <c:strCache>
                <c:ptCount val="1"/>
                <c:pt idx="0">
                  <c:v>Non-Video</c:v>
                </c:pt>
              </c:strCache>
            </c:strRef>
          </c:tx>
          <c:cat>
            <c:numRef>
              <c:f>Sheet1!$A$2:$A$12</c:f>
              <c:numCache>
                <c:formatCode>0_);[Red]\(0\)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0_);[Red]\(0\)</c:formatCode>
                <c:ptCount val="11"/>
                <c:pt idx="0">
                  <c:v>14803.914878025596</c:v>
                </c:pt>
                <c:pt idx="1">
                  <c:v>22382.709288295096</c:v>
                </c:pt>
                <c:pt idx="2">
                  <c:v>33475.215804034808</c:v>
                </c:pt>
                <c:pt idx="3">
                  <c:v>49563.815252512257</c:v>
                </c:pt>
                <c:pt idx="4">
                  <c:v>72702.842793225878</c:v>
                </c:pt>
                <c:pt idx="5">
                  <c:v>105721.59097657337</c:v>
                </c:pt>
                <c:pt idx="6">
                  <c:v>152494.02847545888</c:v>
                </c:pt>
                <c:pt idx="7">
                  <c:v>218295.66854972517</c:v>
                </c:pt>
                <c:pt idx="8">
                  <c:v>310273.88466115226</c:v>
                </c:pt>
                <c:pt idx="9">
                  <c:v>438065.41516742291</c:v>
                </c:pt>
                <c:pt idx="10">
                  <c:v>614604.22593288287</c:v>
                </c:pt>
              </c:numCache>
            </c:numRef>
          </c:val>
        </c:ser>
        <c:ser>
          <c:idx val="1"/>
          <c:order val="1"/>
          <c:tx>
            <c:strRef>
              <c:f>Sheet1!$C$1</c:f>
              <c:strCache>
                <c:ptCount val="1"/>
                <c:pt idx="0">
                  <c:v>Video</c:v>
                </c:pt>
              </c:strCache>
            </c:strRef>
          </c:tx>
          <c:cat>
            <c:numRef>
              <c:f>Sheet1!$A$2:$A$12</c:f>
              <c:numCache>
                <c:formatCode>0_);[Red]\(0\)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Sheet1!$C$2:$C$12</c:f>
              <c:numCache>
                <c:formatCode>0_);[Red]\(0\)</c:formatCode>
                <c:ptCount val="11"/>
                <c:pt idx="0">
                  <c:v>42564.269016575585</c:v>
                </c:pt>
                <c:pt idx="1">
                  <c:v>69174.979638704404</c:v>
                </c:pt>
                <c:pt idx="2">
                  <c:v>111337.49702106137</c:v>
                </c:pt>
                <c:pt idx="3">
                  <c:v>177583.66106715068</c:v>
                </c:pt>
                <c:pt idx="4">
                  <c:v>280858.30792612984</c:v>
                </c:pt>
                <c:pt idx="5">
                  <c:v>440680.97741851222</c:v>
                </c:pt>
                <c:pt idx="6">
                  <c:v>686314.94397984643</c:v>
                </c:pt>
                <c:pt idx="7">
                  <c:v>1061391.9794179338</c:v>
                </c:pt>
                <c:pt idx="8">
                  <c:v>1630632.6437149178</c:v>
                </c:pt>
                <c:pt idx="9">
                  <c:v>2489571.8493675967</c:v>
                </c:pt>
                <c:pt idx="10">
                  <c:v>3778579.0426561353</c:v>
                </c:pt>
              </c:numCache>
            </c:numRef>
          </c:val>
        </c:ser>
        <c:ser>
          <c:idx val="2"/>
          <c:order val="2"/>
          <c:tx>
            <c:strRef>
              <c:f>Sheet1!$D$1</c:f>
              <c:strCache>
                <c:ptCount val="1"/>
                <c:pt idx="0">
                  <c:v>M2M</c:v>
                </c:pt>
              </c:strCache>
            </c:strRef>
          </c:tx>
          <c:spPr>
            <a:ln w="25400">
              <a:noFill/>
            </a:ln>
          </c:spPr>
          <c:cat>
            <c:numRef>
              <c:f>Sheet1!$A$2:$A$12</c:f>
              <c:numCache>
                <c:formatCode>0_);[Red]\(0\)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Sheet1!$D$2:$D$12</c:f>
              <c:numCache>
                <c:formatCode>0_);[Red]\(0\)</c:formatCode>
                <c:ptCount val="11"/>
                <c:pt idx="0">
                  <c:v>4309.0900817748134</c:v>
                </c:pt>
                <c:pt idx="1">
                  <c:v>7556.0644756747524</c:v>
                </c:pt>
                <c:pt idx="2">
                  <c:v>13019.165353376973</c:v>
                </c:pt>
                <c:pt idx="3">
                  <c:v>22075.426303285261</c:v>
                </c:pt>
                <c:pt idx="4">
                  <c:v>36884.394033453013</c:v>
                </c:pt>
                <c:pt idx="5">
                  <c:v>60796.564908589025</c:v>
                </c:pt>
                <c:pt idx="6">
                  <c:v>98958.494144625263</c:v>
                </c:pt>
                <c:pt idx="7">
                  <c:v>159202.33014010059</c:v>
                </c:pt>
                <c:pt idx="8">
                  <c:v>253343.95977247795</c:v>
                </c:pt>
                <c:pt idx="9">
                  <c:v>399064.51137848361</c:v>
                </c:pt>
                <c:pt idx="10">
                  <c:v>622619.78166795301</c:v>
                </c:pt>
              </c:numCache>
            </c:numRef>
          </c:val>
        </c:ser>
        <c:dLbls>
          <c:showLegendKey val="0"/>
          <c:showVal val="0"/>
          <c:showCatName val="0"/>
          <c:showSerName val="0"/>
          <c:showPercent val="0"/>
          <c:showBubbleSize val="0"/>
        </c:dLbls>
        <c:axId val="708576952"/>
        <c:axId val="708576560"/>
      </c:areaChart>
      <c:catAx>
        <c:axId val="708576952"/>
        <c:scaling>
          <c:orientation val="minMax"/>
        </c:scaling>
        <c:delete val="0"/>
        <c:axPos val="b"/>
        <c:numFmt formatCode="0_);[Red]\(0\)" sourceLinked="1"/>
        <c:majorTickMark val="out"/>
        <c:minorTickMark val="none"/>
        <c:tickLblPos val="nextTo"/>
        <c:txPr>
          <a:bodyPr/>
          <a:lstStyle/>
          <a:p>
            <a:pPr>
              <a:defRPr lang="ja-JP"/>
            </a:pPr>
            <a:endParaRPr lang="en-US"/>
          </a:p>
        </c:txPr>
        <c:crossAx val="708576560"/>
        <c:crosses val="autoZero"/>
        <c:auto val="1"/>
        <c:lblAlgn val="ctr"/>
        <c:lblOffset val="100"/>
        <c:noMultiLvlLbl val="0"/>
      </c:catAx>
      <c:valAx>
        <c:axId val="708576560"/>
        <c:scaling>
          <c:orientation val="minMax"/>
        </c:scaling>
        <c:delete val="0"/>
        <c:axPos val="l"/>
        <c:majorGridlines/>
        <c:title>
          <c:tx>
            <c:rich>
              <a:bodyPr rot="-5400000" vert="horz"/>
              <a:lstStyle/>
              <a:p>
                <a:pPr>
                  <a:defRPr lang="ja-JP" sz="1400"/>
                </a:pPr>
                <a:r>
                  <a:rPr lang="en-US" altLang="zh-CN" sz="1400"/>
                  <a:t>EB</a:t>
                </a:r>
                <a:endParaRPr lang="zh-CN" altLang="en-US" sz="1400"/>
              </a:p>
            </c:rich>
          </c:tx>
          <c:layout>
            <c:manualLayout>
              <c:xMode val="edge"/>
              <c:yMode val="edge"/>
              <c:x val="1.7787413183694555E-2"/>
              <c:y val="0.31248974254849882"/>
            </c:manualLayout>
          </c:layout>
          <c:overlay val="0"/>
        </c:title>
        <c:numFmt formatCode="0_);[Red]\(0\)" sourceLinked="1"/>
        <c:majorTickMark val="out"/>
        <c:minorTickMark val="none"/>
        <c:tickLblPos val="nextTo"/>
        <c:txPr>
          <a:bodyPr/>
          <a:lstStyle/>
          <a:p>
            <a:pPr>
              <a:defRPr lang="ja-JP"/>
            </a:pPr>
            <a:endParaRPr lang="en-US"/>
          </a:p>
        </c:txPr>
        <c:crossAx val="708576952"/>
        <c:crosses val="autoZero"/>
        <c:crossBetween val="midCat"/>
        <c:dispUnits>
          <c:builtInUnit val="thousands"/>
        </c:dispUnits>
      </c:valAx>
    </c:plotArea>
    <c:legend>
      <c:legendPos val="b"/>
      <c:layout/>
      <c:overlay val="0"/>
      <c:txPr>
        <a:bodyPr/>
        <a:lstStyle/>
        <a:p>
          <a:pPr>
            <a:defRPr lang="ja-JP"/>
          </a:pPr>
          <a:endParaRPr lang="en-US"/>
        </a:p>
      </c:txPr>
    </c:legend>
    <c:plotVisOnly val="1"/>
    <c:dispBlanksAs val="zero"/>
    <c:showDLblsOverMax val="0"/>
  </c:chart>
  <c:txPr>
    <a:bodyPr/>
    <a:lstStyle/>
    <a:p>
      <a:pPr>
        <a:defRPr sz="1400"/>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9644940217674"/>
          <c:y val="0.19743063367079144"/>
          <c:w val="0.83384058763490065"/>
          <c:h val="0.6075909261342336"/>
        </c:manualLayout>
      </c:layout>
      <c:barChart>
        <c:barDir val="col"/>
        <c:grouping val="clustered"/>
        <c:varyColors val="0"/>
        <c:ser>
          <c:idx val="0"/>
          <c:order val="0"/>
          <c:tx>
            <c:strRef>
              <c:f>Sheet1!$B$1</c:f>
              <c:strCache>
                <c:ptCount val="1"/>
                <c:pt idx="0">
                  <c:v>Data Traffic</c:v>
                </c:pt>
              </c:strCache>
            </c:strRef>
          </c:tx>
          <c:invertIfNegative val="0"/>
          <c:dLbls>
            <c:spPr>
              <a:noFill/>
              <a:ln>
                <a:noFill/>
              </a:ln>
              <a:effectLst/>
            </c:spPr>
            <c:txPr>
              <a:bodyPr/>
              <a:lstStyle/>
              <a:p>
                <a:pPr>
                  <a:defRPr lang="ja-JP"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5.3144775170238345</c:v>
                </c:pt>
                <c:pt idx="1">
                  <c:v>8.0516155992397227</c:v>
                </c:pt>
                <c:pt idx="2">
                  <c:v>12.073728370536038</c:v>
                </c:pt>
                <c:pt idx="3">
                  <c:v>18.023505810178829</c:v>
                </c:pt>
                <c:pt idx="4">
                  <c:v>26.806695147529123</c:v>
                </c:pt>
                <c:pt idx="5">
                  <c:v>39.370853716659447</c:v>
                </c:pt>
                <c:pt idx="6">
                  <c:v>57.508229510089102</c:v>
                </c:pt>
                <c:pt idx="7">
                  <c:v>83.474978213419973</c:v>
                </c:pt>
                <c:pt idx="8">
                  <c:v>121.33091306484489</c:v>
                </c:pt>
                <c:pt idx="9">
                  <c:v>176.99818227572661</c:v>
                </c:pt>
                <c:pt idx="10">
                  <c:v>257.08063067833012</c:v>
                </c:pt>
              </c:numCache>
            </c:numRef>
          </c:val>
        </c:ser>
        <c:dLbls>
          <c:showLegendKey val="0"/>
          <c:showVal val="0"/>
          <c:showCatName val="0"/>
          <c:showSerName val="0"/>
          <c:showPercent val="0"/>
          <c:showBubbleSize val="0"/>
        </c:dLbls>
        <c:gapWidth val="75"/>
        <c:axId val="708583616"/>
        <c:axId val="227094200"/>
      </c:barChart>
      <c:catAx>
        <c:axId val="708583616"/>
        <c:scaling>
          <c:orientation val="minMax"/>
        </c:scaling>
        <c:delete val="0"/>
        <c:axPos val="b"/>
        <c:numFmt formatCode="General" sourceLinked="1"/>
        <c:majorTickMark val="none"/>
        <c:minorTickMark val="none"/>
        <c:tickLblPos val="nextTo"/>
        <c:txPr>
          <a:bodyPr/>
          <a:lstStyle/>
          <a:p>
            <a:pPr>
              <a:defRPr lang="ja-JP"/>
            </a:pPr>
            <a:endParaRPr lang="en-US"/>
          </a:p>
        </c:txPr>
        <c:crossAx val="227094200"/>
        <c:crosses val="autoZero"/>
        <c:auto val="1"/>
        <c:lblAlgn val="ctr"/>
        <c:lblOffset val="100"/>
        <c:noMultiLvlLbl val="0"/>
      </c:catAx>
      <c:valAx>
        <c:axId val="227094200"/>
        <c:scaling>
          <c:orientation val="minMax"/>
        </c:scaling>
        <c:delete val="0"/>
        <c:axPos val="l"/>
        <c:majorGridlines/>
        <c:title>
          <c:tx>
            <c:rich>
              <a:bodyPr rot="-5400000" vert="horz"/>
              <a:lstStyle/>
              <a:p>
                <a:pPr>
                  <a:defRPr lang="ja-JP"/>
                </a:pPr>
                <a:r>
                  <a:rPr lang="en-US" altLang="zh-CN"/>
                  <a:t>GB</a:t>
                </a:r>
                <a:endParaRPr lang="zh-CN" altLang="en-US"/>
              </a:p>
            </c:rich>
          </c:tx>
          <c:layout>
            <c:manualLayout>
              <c:xMode val="edge"/>
              <c:yMode val="edge"/>
              <c:x val="1.8518518518518583E-2"/>
              <c:y val="0.46761798137372551"/>
            </c:manualLayout>
          </c:layout>
          <c:overlay val="0"/>
        </c:title>
        <c:numFmt formatCode="0.0" sourceLinked="1"/>
        <c:majorTickMark val="none"/>
        <c:minorTickMark val="none"/>
        <c:tickLblPos val="nextTo"/>
        <c:spPr>
          <a:ln w="9525">
            <a:noFill/>
          </a:ln>
        </c:spPr>
        <c:txPr>
          <a:bodyPr/>
          <a:lstStyle/>
          <a:p>
            <a:pPr>
              <a:defRPr lang="ja-JP"/>
            </a:pPr>
            <a:endParaRPr lang="en-US"/>
          </a:p>
        </c:txPr>
        <c:crossAx val="708583616"/>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71735915671642"/>
          <c:y val="9.6429459411045124E-2"/>
          <c:w val="0.84687314571115457"/>
          <c:h val="0.66141940437622582"/>
        </c:manualLayout>
      </c:layout>
      <c:barChart>
        <c:barDir val="col"/>
        <c:grouping val="stacked"/>
        <c:varyColors val="0"/>
        <c:ser>
          <c:idx val="0"/>
          <c:order val="0"/>
          <c:tx>
            <c:strRef>
              <c:f>Sheet1!$B$1</c:f>
              <c:strCache>
                <c:ptCount val="1"/>
                <c:pt idx="0">
                  <c:v>Smartphone</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1.5665690107574288</c:v>
                </c:pt>
                <c:pt idx="1">
                  <c:v>1.6800937328648395</c:v>
                </c:pt>
                <c:pt idx="2">
                  <c:v>1.8051736401346425</c:v>
                </c:pt>
                <c:pt idx="3">
                  <c:v>1.8993777769089621</c:v>
                </c:pt>
                <c:pt idx="4">
                  <c:v>1.9749416592464528</c:v>
                </c:pt>
                <c:pt idx="5">
                  <c:v>2.0424644136192063</c:v>
                </c:pt>
                <c:pt idx="6">
                  <c:v>2.1023622759836984</c:v>
                </c:pt>
                <c:pt idx="7">
                  <c:v>2.1502844048757233</c:v>
                </c:pt>
                <c:pt idx="8">
                  <c:v>2.194843336494162</c:v>
                </c:pt>
                <c:pt idx="9">
                  <c:v>2.2359029522262741</c:v>
                </c:pt>
                <c:pt idx="10">
                  <c:v>2.2734202024253447</c:v>
                </c:pt>
              </c:numCache>
            </c:numRef>
          </c:val>
        </c:ser>
        <c:ser>
          <c:idx val="1"/>
          <c:order val="1"/>
          <c:tx>
            <c:strRef>
              <c:f>Sheet1!$C$1</c:f>
              <c:strCache>
                <c:ptCount val="1"/>
                <c:pt idx="0">
                  <c:v>Tablet and other smart devices</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Sheet1!$C$2:$C$12</c:f>
              <c:numCache>
                <c:formatCode>0.0</c:formatCode>
                <c:ptCount val="11"/>
                <c:pt idx="0">
                  <c:v>0.4709904692917205</c:v>
                </c:pt>
                <c:pt idx="1">
                  <c:v>0.53142674207513452</c:v>
                </c:pt>
                <c:pt idx="2">
                  <c:v>0.59371649103002144</c:v>
                </c:pt>
                <c:pt idx="3">
                  <c:v>0.64218557060336934</c:v>
                </c:pt>
                <c:pt idx="4">
                  <c:v>0.67931099431812436</c:v>
                </c:pt>
                <c:pt idx="5">
                  <c:v>0.70839012046129834</c:v>
                </c:pt>
                <c:pt idx="6">
                  <c:v>0.73004461024175693</c:v>
                </c:pt>
                <c:pt idx="7">
                  <c:v>0.74366709877672466</c:v>
                </c:pt>
                <c:pt idx="8">
                  <c:v>0.7533117539454216</c:v>
                </c:pt>
                <c:pt idx="9">
                  <c:v>0.7599357451250407</c:v>
                </c:pt>
                <c:pt idx="10">
                  <c:v>0.76437151437606965</c:v>
                </c:pt>
              </c:numCache>
            </c:numRef>
          </c:val>
        </c:ser>
        <c:ser>
          <c:idx val="2"/>
          <c:order val="2"/>
          <c:tx>
            <c:strRef>
              <c:f>Sheet1!$D$1</c:f>
              <c:strCache>
                <c:ptCount val="1"/>
                <c:pt idx="0">
                  <c:v>Feature phone</c:v>
                </c:pt>
              </c:strCache>
            </c:strRef>
          </c:tx>
          <c:invertIfNegative val="0"/>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Sheet1!$D$2:$D$12</c:f>
              <c:numCache>
                <c:formatCode>0.0</c:formatCode>
                <c:ptCount val="11"/>
                <c:pt idx="0">
                  <c:v>0.23275326451830294</c:v>
                </c:pt>
                <c:pt idx="1">
                  <c:v>0.17746340859699855</c:v>
                </c:pt>
                <c:pt idx="2">
                  <c:v>9.8654282837304527E-2</c:v>
                </c:pt>
                <c:pt idx="3">
                  <c:v>5.4274197149509783E-2</c:v>
                </c:pt>
                <c:pt idx="4">
                  <c:v>2.981272871559195E-2</c:v>
                </c:pt>
                <c:pt idx="5">
                  <c:v>1.1847238702292593E-2</c:v>
                </c:pt>
                <c:pt idx="6">
                  <c:v>0</c:v>
                </c:pt>
                <c:pt idx="7">
                  <c:v>0</c:v>
                </c:pt>
                <c:pt idx="8">
                  <c:v>0</c:v>
                </c:pt>
                <c:pt idx="9">
                  <c:v>0</c:v>
                </c:pt>
                <c:pt idx="10">
                  <c:v>0</c:v>
                </c:pt>
              </c:numCache>
            </c:numRef>
          </c:val>
        </c:ser>
        <c:dLbls>
          <c:showLegendKey val="0"/>
          <c:showVal val="0"/>
          <c:showCatName val="0"/>
          <c:showSerName val="0"/>
          <c:showPercent val="0"/>
          <c:showBubbleSize val="0"/>
        </c:dLbls>
        <c:gapWidth val="75"/>
        <c:overlap val="100"/>
        <c:axId val="227095376"/>
        <c:axId val="227274376"/>
      </c:barChart>
      <c:catAx>
        <c:axId val="227095376"/>
        <c:scaling>
          <c:orientation val="minMax"/>
        </c:scaling>
        <c:delete val="0"/>
        <c:axPos val="b"/>
        <c:numFmt formatCode="General" sourceLinked="1"/>
        <c:majorTickMark val="none"/>
        <c:minorTickMark val="none"/>
        <c:tickLblPos val="nextTo"/>
        <c:crossAx val="227274376"/>
        <c:crosses val="autoZero"/>
        <c:auto val="1"/>
        <c:lblAlgn val="ctr"/>
        <c:lblOffset val="100"/>
        <c:noMultiLvlLbl val="0"/>
      </c:catAx>
      <c:valAx>
        <c:axId val="22727437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Billion </a:t>
                </a:r>
              </a:p>
            </c:rich>
          </c:tx>
          <c:layout>
            <c:manualLayout>
              <c:xMode val="edge"/>
              <c:yMode val="edge"/>
              <c:x val="2.0853504423058281E-2"/>
              <c:y val="0.29943479047877636"/>
            </c:manualLayout>
          </c:layout>
          <c:overlay val="0"/>
        </c:title>
        <c:numFmt formatCode="0.0" sourceLinked="1"/>
        <c:majorTickMark val="none"/>
        <c:minorTickMark val="none"/>
        <c:tickLblPos val="nextTo"/>
        <c:spPr>
          <a:ln w="9523">
            <a:noFill/>
          </a:ln>
        </c:spPr>
        <c:crossAx val="22709537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94106338080294"/>
          <c:y val="0.10245785886832445"/>
          <c:w val="0.84687314571115457"/>
          <c:h val="0.66141940437622582"/>
        </c:manualLayout>
      </c:layout>
      <c:barChart>
        <c:barDir val="col"/>
        <c:grouping val="stacked"/>
        <c:varyColors val="0"/>
        <c:ser>
          <c:idx val="0"/>
          <c:order val="0"/>
          <c:tx>
            <c:strRef>
              <c:f>Sheet1!$B$1</c:f>
              <c:strCache>
                <c:ptCount val="1"/>
                <c:pt idx="0">
                  <c:v>M2M Subscriptions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1.4832947721387078</c:v>
                </c:pt>
                <c:pt idx="1">
                  <c:v>2.3222187969740928</c:v>
                </c:pt>
                <c:pt idx="2">
                  <c:v>3.563897483089502</c:v>
                </c:pt>
                <c:pt idx="3">
                  <c:v>5.3151930458357395</c:v>
                </c:pt>
                <c:pt idx="4">
                  <c:v>7.6252744111655755</c:v>
                </c:pt>
                <c:pt idx="5">
                  <c:v>10.418853465356348</c:v>
                </c:pt>
                <c:pt idx="6">
                  <c:v>13.465314789869074</c:v>
                </c:pt>
                <c:pt idx="7">
                  <c:v>16.438163397496353</c:v>
                </c:pt>
                <c:pt idx="8">
                  <c:v>19.044971016097335</c:v>
                </c:pt>
                <c:pt idx="9">
                  <c:v>21.130000091478731</c:v>
                </c:pt>
                <c:pt idx="10">
                  <c:v>22.683972620100928</c:v>
                </c:pt>
              </c:numCache>
            </c:numRef>
          </c:val>
        </c:ser>
        <c:dLbls>
          <c:showLegendKey val="0"/>
          <c:showVal val="0"/>
          <c:showCatName val="0"/>
          <c:showSerName val="0"/>
          <c:showPercent val="0"/>
          <c:showBubbleSize val="0"/>
        </c:dLbls>
        <c:gapWidth val="75"/>
        <c:overlap val="100"/>
        <c:axId val="227274768"/>
        <c:axId val="227273200"/>
      </c:barChart>
      <c:catAx>
        <c:axId val="227274768"/>
        <c:scaling>
          <c:orientation val="minMax"/>
        </c:scaling>
        <c:delete val="0"/>
        <c:axPos val="b"/>
        <c:numFmt formatCode="General" sourceLinked="1"/>
        <c:majorTickMark val="none"/>
        <c:minorTickMark val="none"/>
        <c:tickLblPos val="nextTo"/>
        <c:crossAx val="227273200"/>
        <c:crosses val="autoZero"/>
        <c:auto val="1"/>
        <c:lblAlgn val="ctr"/>
        <c:lblOffset val="100"/>
        <c:noMultiLvlLbl val="0"/>
      </c:catAx>
      <c:valAx>
        <c:axId val="227273200"/>
        <c:scaling>
          <c:orientation val="minMax"/>
        </c:scaling>
        <c:delete val="0"/>
        <c:axPos val="l"/>
        <c:majorGridlines/>
        <c:title>
          <c:tx>
            <c:rich>
              <a:bodyPr rot="-5400000" vert="horz"/>
              <a:lstStyle/>
              <a:p>
                <a:pPr>
                  <a:defRPr/>
                </a:pPr>
                <a:r>
                  <a:rPr lang="en-US" altLang="zh-CN"/>
                  <a:t>Billion </a:t>
                </a:r>
                <a:endParaRPr lang="zh-CN" altLang="en-US"/>
              </a:p>
            </c:rich>
          </c:tx>
          <c:layout>
            <c:manualLayout>
              <c:xMode val="edge"/>
              <c:yMode val="edge"/>
              <c:x val="2.0853418356417356E-2"/>
              <c:y val="0.29943479214336288"/>
            </c:manualLayout>
          </c:layout>
          <c:overlay val="0"/>
        </c:title>
        <c:numFmt formatCode="0.0" sourceLinked="1"/>
        <c:majorTickMark val="none"/>
        <c:minorTickMark val="none"/>
        <c:tickLblPos val="nextTo"/>
        <c:spPr>
          <a:ln w="9525">
            <a:noFill/>
          </a:ln>
        </c:spPr>
        <c:crossAx val="227274768"/>
        <c:crosses val="autoZero"/>
        <c:crossBetween val="between"/>
      </c:valAx>
    </c:plotArea>
    <c:legend>
      <c:legendPos val="b"/>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0.02174</cdr:x>
      <cdr:y>0.01971</cdr:y>
    </cdr:from>
    <cdr:to>
      <cdr:x>0.20725</cdr:x>
      <cdr:y>0.11686</cdr:y>
    </cdr:to>
    <cdr:sp macro="" textlink="">
      <cdr:nvSpPr>
        <cdr:cNvPr id="2" name="文本框 1"/>
        <cdr:cNvSpPr txBox="1"/>
      </cdr:nvSpPr>
      <cdr:spPr>
        <a:xfrm xmlns:a="http://schemas.openxmlformats.org/drawingml/2006/main">
          <a:off x="119269" y="45590"/>
          <a:ext cx="1017767" cy="224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0.02174</cdr:x>
      <cdr:y>0.01971</cdr:y>
    </cdr:from>
    <cdr:to>
      <cdr:x>0.20725</cdr:x>
      <cdr:y>0.11686</cdr:y>
    </cdr:to>
    <cdr:sp macro="" textlink="">
      <cdr:nvSpPr>
        <cdr:cNvPr id="2" name="文本框 1"/>
        <cdr:cNvSpPr txBox="1"/>
      </cdr:nvSpPr>
      <cdr:spPr>
        <a:xfrm xmlns:a="http://schemas.openxmlformats.org/drawingml/2006/main">
          <a:off x="119269" y="45590"/>
          <a:ext cx="1017767" cy="224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0.04092</cdr:x>
      <cdr:y>0.04392</cdr:y>
    </cdr:from>
    <cdr:to>
      <cdr:x>0.2094</cdr:x>
      <cdr:y>0.1243</cdr:y>
    </cdr:to>
    <cdr:sp macro="" textlink="">
      <cdr:nvSpPr>
        <cdr:cNvPr id="2" name="文本框 1"/>
        <cdr:cNvSpPr txBox="1"/>
      </cdr:nvSpPr>
      <cdr:spPr>
        <a:xfrm xmlns:a="http://schemas.openxmlformats.org/drawingml/2006/main">
          <a:off x="233662" y="130318"/>
          <a:ext cx="962150" cy="238529"/>
        </a:xfrm>
        <a:prstGeom xmlns:a="http://schemas.openxmlformats.org/drawingml/2006/main" prst="rect">
          <a:avLst/>
        </a:prstGeom>
      </cdr:spPr>
    </cdr:sp>
  </cdr:relSizeAnchor>
  <cdr:relSizeAnchor xmlns:cdr="http://schemas.openxmlformats.org/drawingml/2006/chartDrawing">
    <cdr:from>
      <cdr:x>0.06544</cdr:x>
      <cdr:y>0.02412</cdr:y>
    </cdr:from>
    <cdr:to>
      <cdr:x>0.2743</cdr:x>
      <cdr:y>0.1045</cdr:y>
    </cdr:to>
    <cdr:sp macro="" textlink="">
      <cdr:nvSpPr>
        <cdr:cNvPr id="3" name="文本框 2"/>
        <cdr:cNvSpPr txBox="1"/>
      </cdr:nvSpPr>
      <cdr:spPr>
        <a:xfrm xmlns:a="http://schemas.openxmlformats.org/drawingml/2006/main">
          <a:off x="373711" y="71562"/>
          <a:ext cx="1192696"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200"/>
            <a:t>traffic/month</a:t>
          </a:r>
          <a:endParaRPr lang="zh-CN" altLang="en-US" sz="1200"/>
        </a:p>
      </cdr:txBody>
    </cdr:sp>
  </cdr:relSizeAnchor>
</c:userShapes>
</file>

<file path=word/drawings/drawing4.xml><?xml version="1.0" encoding="utf-8"?>
<c:userShapes xmlns:c="http://schemas.openxmlformats.org/drawingml/2006/chart">
  <cdr:relSizeAnchor xmlns:cdr="http://schemas.openxmlformats.org/drawingml/2006/chartDrawing">
    <cdr:from>
      <cdr:x>0.03333</cdr:x>
      <cdr:y>0.03279</cdr:y>
    </cdr:from>
    <cdr:to>
      <cdr:x>0.2087</cdr:x>
      <cdr:y>0.13115</cdr:y>
    </cdr:to>
    <cdr:sp macro="" textlink="">
      <cdr:nvSpPr>
        <cdr:cNvPr id="2" name="文本框 1"/>
        <cdr:cNvSpPr txBox="1"/>
      </cdr:nvSpPr>
      <cdr:spPr>
        <a:xfrm xmlns:a="http://schemas.openxmlformats.org/drawingml/2006/main">
          <a:off x="182881" y="79513"/>
          <a:ext cx="962107"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0.02174</cdr:x>
      <cdr:y>0.0294</cdr:y>
    </cdr:from>
    <cdr:to>
      <cdr:x>0.20725</cdr:x>
      <cdr:y>0.13356</cdr:y>
    </cdr:to>
    <cdr:sp macro="" textlink="">
      <cdr:nvSpPr>
        <cdr:cNvPr id="2" name="文本框 1"/>
        <cdr:cNvSpPr txBox="1"/>
      </cdr:nvSpPr>
      <cdr:spPr>
        <a:xfrm xmlns:a="http://schemas.openxmlformats.org/drawingml/2006/main">
          <a:off x="119274" y="78770"/>
          <a:ext cx="1017782" cy="279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0.02174</cdr:x>
      <cdr:y>0.0294</cdr:y>
    </cdr:from>
    <cdr:to>
      <cdr:x>0.20725</cdr:x>
      <cdr:y>0.13356</cdr:y>
    </cdr:to>
    <cdr:sp macro="" textlink="">
      <cdr:nvSpPr>
        <cdr:cNvPr id="2" name="文本框 1"/>
        <cdr:cNvSpPr txBox="1"/>
      </cdr:nvSpPr>
      <cdr:spPr>
        <a:xfrm xmlns:a="http://schemas.openxmlformats.org/drawingml/2006/main">
          <a:off x="119274" y="78770"/>
          <a:ext cx="1017782" cy="279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0.03333</cdr:x>
      <cdr:y>0.03279</cdr:y>
    </cdr:from>
    <cdr:to>
      <cdr:x>0.2087</cdr:x>
      <cdr:y>0.13115</cdr:y>
    </cdr:to>
    <cdr:sp macro="" textlink="">
      <cdr:nvSpPr>
        <cdr:cNvPr id="2" name="文本框 1"/>
        <cdr:cNvSpPr txBox="1"/>
      </cdr:nvSpPr>
      <cdr:spPr>
        <a:xfrm xmlns:a="http://schemas.openxmlformats.org/drawingml/2006/main">
          <a:off x="182881" y="79513"/>
          <a:ext cx="962107"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M Series</TermName>
          <TermId xmlns="http://schemas.microsoft.com/office/infopath/2007/PartnerControls">c7557807-129e-4ea4-ac26-b54fbb887521</TermId>
        </TermInfo>
      </Terms>
    </db2350c51162411aaf5d1a20fac86ca9>
    <FolderTitle xmlns="59d7e714-8a8e-4e71-99ab-f9b344473ddb">IMT Traffic estimates for the years 2020 to 2030</FolderTitle>
    <Fmax18 xmlns="59d7e714-8a8e-4e71-99ab-f9b344473ddb" xsi:nil="true"/>
    <Fmin11 xmlns="59d7e714-8a8e-4e71-99ab-f9b344473ddb" xsi:nil="true"/>
    <Fmax8 xmlns="59d7e714-8a8e-4e71-99ab-f9b344473ddb" xsi:nil="true"/>
    <TaxCatchAll xmlns="c8e4c242-ae33-46fb-9ee0-8d0fdd9916a5">
      <Value>118</Value>
      <Value>82</Value>
      <Value>81</Value>
      <Value>110</Value>
      <Value>160</Value>
      <Value>65</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WP5D</TermName>
          <TermId xmlns="http://schemas.microsoft.com/office/infopath/2007/PartnerControls">2eef145d-df45-4325-898b-660d9995c3ef</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cdc0d271-6c49-49cd-8bc7-f6b14cb26e88</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M.2370-0 (07/2015)</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IMT</TermName>
          <TermId xmlns="http://schemas.microsoft.com/office/infopath/2007/PartnerControls">9b39df78-d7c8-43d8-ac3f-1ee8029e1dfb</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LMS</TermName>
          <TermId xmlns="http://schemas.microsoft.com/office/infopath/2007/PartnerControls">fc81f573-b7ef-4b77-92f9-7c98c9d8b989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A665A672-DC47-4987-A38D-5C545A2CC0EF}"/>
</file>

<file path=customXml/itemProps2.xml><?xml version="1.0" encoding="utf-8"?>
<ds:datastoreItem xmlns:ds="http://schemas.openxmlformats.org/officeDocument/2006/customXml" ds:itemID="{F2CBC0C9-034F-40E8-9043-30CA0A9B970D}"/>
</file>

<file path=customXml/itemProps3.xml><?xml version="1.0" encoding="utf-8"?>
<ds:datastoreItem xmlns:ds="http://schemas.openxmlformats.org/officeDocument/2006/customXml" ds:itemID="{D069329F-86EA-4AB6-866F-7C5051DF1724}"/>
</file>

<file path=customXml/itemProps4.xml><?xml version="1.0" encoding="utf-8"?>
<ds:datastoreItem xmlns:ds="http://schemas.openxmlformats.org/officeDocument/2006/customXml" ds:itemID="{7EE34B9F-B612-46F6-BAEA-9E50C7D23E7F}"/>
</file>

<file path=docProps/app.xml><?xml version="1.0" encoding="utf-8"?>
<Properties xmlns="http://schemas.openxmlformats.org/officeDocument/2006/extended-properties" xmlns:vt="http://schemas.openxmlformats.org/officeDocument/2006/docPropsVTypes">
  <Template>BR_Rec_2005.dotm</Template>
  <TotalTime>21</TotalTime>
  <Pages>1</Pages>
  <Words>11427</Words>
  <Characters>69366</Characters>
  <Application>Microsoft Office Word</Application>
  <DocSecurity>0</DocSecurity>
  <Lines>2477</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IMT Traffic estimates for the years 2020 to 2030</dc:title>
  <dc:subject/>
  <dc:creator>ITU Radiocommunication Sector</dc:creator>
  <cp:keywords/>
  <dc:description/>
  <cp:lastModifiedBy>Gachet, Christelle</cp:lastModifiedBy>
  <cp:revision>6</cp:revision>
  <cp:lastPrinted>2015-10-15T08:41:00Z</cp:lastPrinted>
  <dcterms:created xsi:type="dcterms:W3CDTF">2015-09-15T08:01:00Z</dcterms:created>
  <dcterms:modified xsi:type="dcterms:W3CDTF">2015-10-15T08:42:00Z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160;#2015|cdc0d271-6c49-49cd-8bc7-f6b14cb26e88</vt:lpwstr>
  </property>
  <property fmtid="{D5CDD505-2E9C-101B-9397-08002B2CF9AE}" pid="13" name="Services">
    <vt:lpwstr>65;#LMS|fc81f573-b7ef-4b77-92f9-7c98c9d8b989</vt:lpwstr>
  </property>
  <property fmtid="{D5CDD505-2E9C-101B-9397-08002B2CF9AE}" pid="14" name="Radio_category">
    <vt:lpwstr>82;#IMT|9b39df78-d7c8-43d8-ac3f-1ee8029e1dfb</vt:lpwstr>
  </property>
  <property fmtid="{D5CDD505-2E9C-101B-9397-08002B2CF9AE}" pid="15" name="Resp_WPs">
    <vt:lpwstr>81;#WP5D|2eef145d-df45-4325-898b-660d9995c3ef</vt:lpwstr>
  </property>
  <property fmtid="{D5CDD505-2E9C-101B-9397-08002B2CF9AE}" pid="16" name="_docset_NoMedatataSyncRequired">
    <vt:lpwstr>False</vt:lpwstr>
  </property>
  <property fmtid="{D5CDD505-2E9C-101B-9397-08002B2CF9AE}" pid="17" name="Series">
    <vt:lpwstr>118;#M Series|c7557807-129e-4ea4-ac26-b54fbb887521</vt:lpwstr>
  </property>
</Properties>
</file>